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rPr>
        <w:t xml:space="preserve">Private &amp; Confidential</w:t>
      </w:r>
    </w:p>
    <w:p>
      <w:pPr>
        <w:spacing w:after="160" w:before="0"/>
      </w:pPr>
      <w:r>
        <w:rPr>
          <w:i/>
          <w:iCs/>
          <w:color w:val="555555"/>
          <w:sz w:val="18"/>
          <w:szCs w:val="18"/>
        </w:rPr>
        <w:t xml:space="preserve">By email and post</w:t>
      </w:r>
    </w:p>
    <w:p>
      <w:pPr>
        <w:spacing w:after="120" w:before="0"/>
      </w:pPr>
      <w:r>
        <w:t xml:space="preserve">Ms Catherine Barlow</w:t>
      </w:r>
    </w:p>
    <w:p>
      <w:pPr>
        <w:spacing w:after="120" w:before="0"/>
      </w:pPr>
      <w:r>
        <w:t xml:space="preserve">Managing Partner</w:t>
      </w:r>
    </w:p>
    <w:p>
      <w:pPr>
        <w:spacing w:after="120" w:before="0"/>
      </w:pPr>
      <w:r>
        <w:t xml:space="preserve">Halloran Capital Partners</w:t>
      </w:r>
    </w:p>
    <w:p>
      <w:pPr>
        <w:spacing w:after="160" w:before="0"/>
      </w:pPr>
      <w:r>
        <w:t xml:space="preserve">11 Devonshire Square, London EC2M 4YN</w:t>
      </w:r>
    </w:p>
    <w:p>
      <w:pPr>
        <w:spacing w:after="200" w:before="0"/>
      </w:pPr>
      <w:r>
        <w:t xml:space="preserve">Our ref: SW/JO/WILLOW/0160</w:t>
      </w:r>
      <w:r>
        <w:t xml:space="preserve">	</w:t>
      </w:r>
      <w:r>
        <w:t xml:space="preserve">10 February 2025</w:t>
      </w:r>
    </w:p>
    <w:p>
      <w:pPr>
        <w:spacing w:after="120" w:before="0"/>
      </w:pPr>
      <w:r>
        <w:t xml:space="preserve">Dear Catherine</w:t>
      </w:r>
    </w:p>
    <w:p>
      <w:pPr>
        <w:spacing w:after="120" w:before="0"/>
      </w:pPr>
      <w:r>
        <w:rPr>
          <w:b/>
          <w:bCs/>
        </w:rPr>
        <w:t xml:space="preserve">Project Willow — proposed acquisition of Westmere Coatings Limited: engagement and terms</w:t>
      </w:r>
    </w:p>
    <w:p>
      <w:pPr>
        <w:spacing w:after="120" w:before="0"/>
      </w:pPr>
      <w:r>
        <w:t xml:space="preserve">Thank you for instructing Whitfield Carter LLP in connection with the proposed acquisition by Halloran Capital Partners (or a wholly-owned acquisition vehicle) of the entire issued share capital of Westmere Coatings Limited (the “Transaction”). This letter, together with our enclosed standard terms of business, sets out the basis on which we will act for you.</w:t>
      </w:r>
    </w:p>
    <w:p>
      <w:pPr>
        <w:spacing w:after="120" w:before="0"/>
      </w:pPr>
      <w:r>
        <w:rPr>
          <w:b/>
          <w:bCs/>
        </w:rPr>
        <w:t xml:space="preserve">1. Scope of work</w:t>
      </w:r>
    </w:p>
    <w:p>
      <w:pPr>
        <w:spacing w:after="120" w:before="0"/>
      </w:pPr>
      <w:r>
        <w:t xml:space="preserve">We will advise Halloran on all English law aspects of the Transaction, including: (a) structuring and the establishment of the acquisition vehicle; (b) legal due diligence on the target group and the preparation of a due diligence report; (c) negotiation and drafting of the share purchase agreement, disclosure letter and ancillary transaction documents; (d) signing and completion mechanics; and (e) post-completion filings. Tax structuring will be led by Marlow Tax &amp; Advisory, with whom we will liaise.</w:t>
      </w:r>
    </w:p>
    <w:p>
      <w:pPr>
        <w:spacing w:after="120" w:before="0"/>
      </w:pPr>
      <w:r>
        <w:rPr>
          <w:b/>
          <w:bCs/>
        </w:rPr>
        <w:t xml:space="preserve">2. Team</w:t>
      </w:r>
    </w:p>
    <w:p>
      <w:pPr>
        <w:spacing w:after="120" w:before="0"/>
      </w:pPr>
      <w:r>
        <w:t xml:space="preserve">I will lead the engagement as the responsible partner. James Osei (Senior Associate) will have principal day-to-day conduct of the matter, supported by Elena Marchetti (Associate). We will draw on specialists in tax, employment, property and pensions as the diligence requires.</w:t>
      </w:r>
    </w:p>
    <w:p>
      <w:pPr>
        <w:spacing w:after="120" w:before="0"/>
      </w:pPr>
      <w:r>
        <w:rPr>
          <w:b/>
          <w:bCs/>
        </w:rPr>
        <w:t xml:space="preserve">3. Fees</w:t>
      </w:r>
    </w:p>
    <w:p>
      <w:pPr>
        <w:spacing w:after="120" w:before="0"/>
      </w:pPr>
      <w:r>
        <w:t xml:space="preserve">Our fees are charged by reference to time spent at the hourly rates of the individuals involved. Current rates (excluding VAT) are: Partner £695; Senior Associate £475; Associate £350; Trainee £210. On the basis of the information presently available, we estimate our fees for the Transaction through to completion in the range of £180,000 to £230,000 plus VAT and disbursements, assuming a single round of substantive mark-up and a competitive but not contested process. We will notify you promptly if it appears that this estimate is likely to be materially exceeded.</w:t>
      </w:r>
    </w:p>
    <w:p>
      <w:pPr>
        <w:spacing w:after="120" w:before="0"/>
      </w:pPr>
      <w:r>
        <w:rPr>
          <w:b/>
          <w:bCs/>
        </w:rPr>
        <w:t xml:space="preserve">4. Billing</w:t>
      </w:r>
    </w:p>
    <w:p>
      <w:pPr>
        <w:spacing w:after="120" w:before="0"/>
      </w:pPr>
      <w:r>
        <w:t xml:space="preserve">We will render interim invoices monthly. Invoices are payable within 30 days of the date of invoice. We may render a final invoice on or shortly after completion.</w:t>
      </w:r>
    </w:p>
    <w:p>
      <w:pPr>
        <w:spacing w:after="120" w:before="0"/>
      </w:pPr>
      <w:r>
        <w:rPr>
          <w:b/>
          <w:bCs/>
        </w:rPr>
        <w:t xml:space="preserve">5. Conflicts and confidentiality</w:t>
      </w:r>
    </w:p>
    <w:p>
      <w:pPr>
        <w:spacing w:after="120" w:before="0"/>
      </w:pPr>
      <w:r>
        <w:t xml:space="preserve">We have carried out a conflict check and are not aware of any conflict of interest that would prevent us acting for you on the Transaction. We will keep your affairs confidential in accordance with our professional obligations and our standard terms of business.</w:t>
      </w:r>
    </w:p>
    <w:p>
      <w:pPr>
        <w:spacing w:after="120" w:before="0"/>
      </w:pPr>
      <w:r>
        <w:rPr>
          <w:b/>
          <w:bCs/>
        </w:rPr>
        <w:t xml:space="preserve">6. Anti-money laundering</w:t>
      </w:r>
    </w:p>
    <w:p>
      <w:pPr>
        <w:spacing w:after="120" w:before="0"/>
      </w:pPr>
      <w:r>
        <w:t xml:space="preserve">As you are an existing client, our client due diligence is current; we may nonetheless ask for updated identification evidence in respect of the acquisition vehicle once incorporated.</w:t>
      </w:r>
    </w:p>
    <w:p>
      <w:pPr>
        <w:spacing w:after="120" w:before="80"/>
      </w:pPr>
      <w:r>
        <w:t xml:space="preserve">Please confirm your acceptance of these terms by signing and returning the enclosed copy of this letter. We are very pleased to be acting for you again and look forward to working with you and the team on Project Willow.</w:t>
      </w:r>
    </w:p>
    <w:p>
      <w:pPr>
        <w:spacing w:after="120" w:before="160"/>
      </w:pPr>
      <w:r>
        <w:t xml:space="preserve">Yours sincerely</w:t>
      </w:r>
    </w:p>
    <w:p>
      <w:pPr>
        <w:spacing w:after="120" w:before="0"/>
      </w:pPr>
      <w:r>
        <w:t xml:space="preserve"/>
      </w:r>
    </w:p>
    <w:p>
      <w:pPr>
        <w:spacing w:after="120" w:before="0"/>
      </w:pPr>
      <w:r>
        <w:rPr>
          <w:b/>
          <w:bCs/>
        </w:rPr>
        <w:t xml:space="preserve">Sarah Whitfield</w:t>
      </w:r>
    </w:p>
    <w:p>
      <w:pPr>
        <w:spacing w:after="120" w:before="0"/>
      </w:pPr>
      <w:r>
        <w:t xml:space="preserve">Partner — Corporate / M&amp;A</w:t>
      </w:r>
    </w:p>
    <w:p>
      <w:pPr>
        <w:spacing w:after="200" w:before="0"/>
      </w:pPr>
      <w:r>
        <w:t xml:space="preserve">Whitfield Carter LLP</w:t>
      </w:r>
    </w:p>
    <w:p>
      <w:pPr>
        <w:spacing w:after="120" w:before="0"/>
      </w:pPr>
      <w:r>
        <w:rPr>
          <w:i/>
          <w:iCs/>
        </w:rPr>
        <w:t xml:space="preserve">Enc. Standard terms of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77777"/>
        <w:sz w:val="14"/>
        <w:szCs w:val="14"/>
      </w:rPr>
      <w:t xml:space="preserve">Project Willow — Engagement Letter</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7A" w:sz="6" w:space="4"/>
      </w:pBdr>
      <w:spacing w:after="120"/>
    </w:pPr>
    <w:r>
      <w:rPr>
        <w:color w:val="555555"/>
        <w:sz w:val="16"/>
        <w:szCs w:val="16"/>
      </w:rPr>
      <w:t xml:space="preserve">22 Bishopsgate, London EC2N 4BQ  ·  T +44 (0)20 7946 0521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Project_Willow_EngagementLetter.docx</dc:title>
  <dc:creator>Whitfield Carter LLP</dc:creator>
  <cp:lastModifiedBy>Un-named</cp:lastModifiedBy>
  <cp:revision>1</cp:revision>
  <dcterms:created xsi:type="dcterms:W3CDTF">2026-06-28T07:33:27.511Z</dcterms:created>
  <dcterms:modified xsi:type="dcterms:W3CDTF">2026-06-28T07:33:27.511Z</dcterms:modified>
</cp:coreProperties>
</file>

<file path=docProps/custom.xml><?xml version="1.0" encoding="utf-8"?>
<Properties xmlns="http://schemas.openxmlformats.org/officeDocument/2006/custom-properties" xmlns:vt="http://schemas.openxmlformats.org/officeDocument/2006/docPropsVTypes"/>
</file>