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sz w:val="26"/>
          <w:szCs w:val="26"/>
        </w:rPr>
        <w:t xml:space="preserve">HEADS OF TERMS</w:t>
      </w:r>
    </w:p>
    <w:p>
      <w:pPr>
        <w:spacing w:after="60" w:before="0"/>
        <w:jc w:val="center"/>
      </w:pPr>
      <w:r>
        <w:rPr>
          <w:i/>
          <w:iCs/>
        </w:rPr>
        <w:t xml:space="preserve">Project Willow — Proposed acquisition of Westmere Coatings Limited</w:t>
      </w:r>
    </w:p>
    <w:p>
      <w:pPr>
        <w:spacing w:after="200" w:before="0"/>
        <w:jc w:val="center"/>
      </w:pPr>
      <w:r>
        <w:rPr>
          <w:b/>
          <w:bCs/>
          <w:sz w:val="18"/>
          <w:szCs w:val="18"/>
        </w:rPr>
        <w:t xml:space="preserve">Strictly private and confidential — subject to contract — not legally binding (save for clauses 9 to 12)</w:t>
      </w:r>
    </w:p>
    <w:p>
      <w:pPr>
        <w:spacing w:after="120" w:before="0"/>
      </w:pPr>
      <w:r>
        <w:rPr>
          <w:b/>
          <w:bCs/>
        </w:rPr>
        <w:t xml:space="preserve">Dated 28 February 2025</w:t>
      </w:r>
    </w:p>
    <w:p>
      <w:pPr>
        <w:spacing w:after="120" w:before="0"/>
      </w:pPr>
      <w:r>
        <w:t xml:space="preserve">These heads of terms record the principal terms on which Halloran Capital Partners (“Halloran” or the “Buyer”), through a newly-incorporated acquisition vehicle, proposes to acquire the entire issued share capital of Westmere Coatings Limited (the “Company”) from its current shareholders (the “Sellers”). Save for clauses 9 to 12 (which are intended to be legally binding), these heads of terms are not intended to create legally binding obligations and are subject to contract.</w:t>
      </w:r>
    </w:p>
    <w:p>
      <w:pPr>
        <w:spacing w:after="120" w:before="0"/>
      </w:pPr>
      <w:r>
        <w:rPr>
          <w:b/>
          <w:bCs/>
        </w:rPr>
        <w:t xml:space="preserve">1. The Transaction</w:t>
      </w:r>
    </w:p>
    <w:p>
      <w:pPr>
        <w:tabs>
          <w:tab w:val="left" w:pos="600"/>
        </w:tabs>
        <w:spacing w:after="100"/>
        <w:ind w:left="600" w:hanging="600"/>
      </w:pPr>
      <w:r>
        <w:t xml:space="preserve">1.1	</w:t>
      </w:r>
      <w:r>
        <w:t xml:space="preserve">The Buyer will acquire 100% of the issued share capital of the Company (the “Shares”) free from all encumbrances and together with all rights attaching to them.</w:t>
      </w:r>
    </w:p>
    <w:p>
      <w:pPr>
        <w:tabs>
          <w:tab w:val="left" w:pos="600"/>
        </w:tabs>
        <w:spacing w:after="100"/>
        <w:ind w:left="600" w:hanging="600"/>
      </w:pPr>
      <w:r>
        <w:t xml:space="preserve">1.2	</w:t>
      </w:r>
      <w:r>
        <w:t xml:space="preserve">The acquisition vehicle will be a newly-incorporated English company (provisionally Willow Bidco Limited) wholly owned by funds managed or advised by Halloran.</w:t>
      </w:r>
    </w:p>
    <w:p>
      <w:pPr>
        <w:spacing w:after="120" w:before="0"/>
      </w:pPr>
      <w:r>
        <w:rPr>
          <w:b/>
          <w:bCs/>
        </w:rPr>
        <w:t xml:space="preserve">2. Consideration</w:t>
      </w:r>
    </w:p>
    <w:p>
      <w:pPr>
        <w:tabs>
          <w:tab w:val="left" w:pos="600"/>
        </w:tabs>
        <w:spacing w:after="100"/>
        <w:ind w:left="600" w:hanging="600"/>
      </w:pPr>
      <w:r>
        <w:t xml:space="preserve">2.1	</w:t>
      </w:r>
      <w:r>
        <w:t xml:space="preserve">The transaction is proposed on a cash-free, debt-free basis with a normalised level of working capital. The headline enterprise value is £42,500,000.</w:t>
      </w:r>
    </w:p>
    <w:p>
      <w:pPr>
        <w:tabs>
          <w:tab w:val="left" w:pos="600"/>
        </w:tabs>
        <w:spacing w:after="100"/>
        <w:ind w:left="600" w:hanging="600"/>
      </w:pPr>
      <w:r>
        <w:t xml:space="preserve">2.2	</w:t>
      </w:r>
      <w:r>
        <w:t xml:space="preserve">Based on estimated completion net debt of £3,200,000, the headline equity value is £39,300,000, subject to a completion accounts adjustment for actual net debt and for working capital against a target of £6,800,000.</w:t>
      </w:r>
    </w:p>
    <w:p>
      <w:pPr>
        <w:tabs>
          <w:tab w:val="left" w:pos="600"/>
        </w:tabs>
        <w:spacing w:after="100"/>
        <w:ind w:left="600" w:hanging="600"/>
      </w:pPr>
      <w:r>
        <w:t xml:space="preserve">2.3	</w:t>
      </w:r>
      <w:r>
        <w:t xml:space="preserve">The consideration will be satisfied in cash on completion, save that £2,000,000 of the consideration will be retained in a joint retention account for 18 months as security for warranty and tax claims (the “Retention”).</w:t>
      </w:r>
    </w:p>
    <w:p>
      <w:pPr>
        <w:spacing w:after="120" w:before="0"/>
      </w:pPr>
      <w:r>
        <w:rPr>
          <w:b/>
          <w:bCs/>
        </w:rPr>
        <w:t xml:space="preserve">3. Completion accounts</w:t>
      </w:r>
    </w:p>
    <w:p>
      <w:pPr>
        <w:tabs>
          <w:tab w:val="left" w:pos="600"/>
        </w:tabs>
        <w:spacing w:after="100"/>
        <w:ind w:left="600" w:hanging="600"/>
      </w:pPr>
      <w:r>
        <w:t xml:space="preserve">3.1	</w:t>
      </w:r>
      <w:r>
        <w:t xml:space="preserve">The final consideration will be determined by completion accounts adjusting the headline equity value pound-for-pound for the difference between actual and assumed net debt and between actual and target working capital.</w:t>
      </w:r>
    </w:p>
    <w:p>
      <w:pPr>
        <w:spacing w:after="120" w:before="0"/>
      </w:pPr>
      <w:r>
        <w:rPr>
          <w:b/>
          <w:bCs/>
        </w:rPr>
        <w:t xml:space="preserve">4. Conditions</w:t>
      </w:r>
    </w:p>
    <w:p>
      <w:pPr>
        <w:tabs>
          <w:tab w:val="left" w:pos="600"/>
        </w:tabs>
        <w:spacing w:after="100"/>
        <w:ind w:left="600" w:hanging="600"/>
      </w:pPr>
      <w:r>
        <w:t xml:space="preserve">4.1	</w:t>
      </w:r>
      <w:r>
        <w:t xml:space="preserve">Completion is expected to be conditional only on the change-of-control consent of the Company’s principal asset-finance provider and on no material adverse change occurring between signing and completion. The parties intend to sign and complete simultaneously if the consent is obtained beforehand.</w:t>
      </w:r>
    </w:p>
    <w:p>
      <w:pPr>
        <w:spacing w:after="120" w:before="0"/>
      </w:pPr>
      <w:r>
        <w:rPr>
          <w:b/>
          <w:bCs/>
        </w:rPr>
        <w:t xml:space="preserve">5. Warranties and limitations</w:t>
      </w:r>
    </w:p>
    <w:p>
      <w:pPr>
        <w:tabs>
          <w:tab w:val="left" w:pos="600"/>
        </w:tabs>
        <w:spacing w:after="100"/>
        <w:ind w:left="600" w:hanging="600"/>
      </w:pPr>
      <w:r>
        <w:t xml:space="preserve">5.1	</w:t>
      </w:r>
      <w:r>
        <w:t xml:space="preserve">The Sellers will give customary warranties as to title, capacity and the business, qualified by disclosure.</w:t>
      </w:r>
    </w:p>
    <w:p>
      <w:pPr>
        <w:tabs>
          <w:tab w:val="left" w:pos="600"/>
        </w:tabs>
        <w:spacing w:after="100"/>
        <w:ind w:left="600" w:hanging="600"/>
      </w:pPr>
      <w:r>
        <w:t xml:space="preserve">5.2	</w:t>
      </w:r>
      <w:r>
        <w:t xml:space="preserve">The parties acknowledge that the cap on the Sellers’ liability for general (business) warranties remains to be agreed and is expected to be a percentage of the equity consideration; liability for title and capacity warranties and under the tax covenant will be capped at the full consideration.</w:t>
      </w:r>
    </w:p>
    <w:p>
      <w:pPr>
        <w:spacing w:after="120" w:before="0"/>
      </w:pPr>
      <w:r>
        <w:rPr>
          <w:b/>
          <w:bCs/>
        </w:rPr>
        <w:t xml:space="preserve">6. Restrictive covenants</w:t>
      </w:r>
    </w:p>
    <w:p>
      <w:pPr>
        <w:tabs>
          <w:tab w:val="left" w:pos="600"/>
        </w:tabs>
        <w:spacing w:after="100"/>
        <w:ind w:left="600" w:hanging="600"/>
      </w:pPr>
      <w:r>
        <w:t xml:space="preserve">6.1	</w:t>
      </w:r>
      <w:r>
        <w:t xml:space="preserve">Geoffrey Westmere and Daniel Westmere will give non-compete and non-solicitation covenants for a period of three years from completion within the United Kingdom.</w:t>
      </w:r>
    </w:p>
    <w:p>
      <w:pPr>
        <w:spacing w:after="120" w:before="0"/>
      </w:pPr>
      <w:r>
        <w:rPr>
          <w:b/>
          <w:bCs/>
        </w:rPr>
        <w:t xml:space="preserve">7. Management</w:t>
      </w:r>
    </w:p>
    <w:p>
      <w:pPr>
        <w:tabs>
          <w:tab w:val="left" w:pos="600"/>
        </w:tabs>
        <w:spacing w:after="100"/>
        <w:ind w:left="600" w:hanging="600"/>
      </w:pPr>
      <w:r>
        <w:t xml:space="preserve">7.1	</w:t>
      </w:r>
      <w:r>
        <w:t xml:space="preserve">Daniel Westmere will remain as Managing Director under a new service agreement. Geoffrey Westmere will step back from executive duties but will be available on a consultancy basis for a transitional period of up to twelve months.</w:t>
      </w:r>
    </w:p>
    <w:p>
      <w:pPr>
        <w:spacing w:after="120" w:before="0"/>
      </w:pPr>
      <w:r>
        <w:rPr>
          <w:b/>
          <w:bCs/>
        </w:rPr>
        <w:t xml:space="preserve">8. Timetable</w:t>
      </w:r>
    </w:p>
    <w:p>
      <w:pPr>
        <w:tabs>
          <w:tab w:val="left" w:pos="600"/>
        </w:tabs>
        <w:spacing w:after="100"/>
        <w:ind w:left="600" w:hanging="600"/>
      </w:pPr>
      <w:r>
        <w:t xml:space="preserve">8.1	</w:t>
      </w:r>
      <w:r>
        <w:t xml:space="preserve">The parties aim to sign and complete by 16 May 2025, with a longstop date of 30 June 2025.</w:t>
      </w:r>
    </w:p>
    <w:p>
      <w:pPr>
        <w:spacing w:after="120" w:before="0"/>
      </w:pPr>
      <w:r>
        <w:rPr>
          <w:b/>
          <w:bCs/>
        </w:rPr>
        <w:t xml:space="preserve">9. Exclusivity (binding)</w:t>
      </w:r>
    </w:p>
    <w:p>
      <w:pPr>
        <w:tabs>
          <w:tab w:val="left" w:pos="600"/>
        </w:tabs>
        <w:spacing w:after="100"/>
        <w:ind w:left="600" w:hanging="600"/>
      </w:pPr>
      <w:r>
        <w:t xml:space="preserve">9.1	</w:t>
      </w:r>
      <w:r>
        <w:t xml:space="preserve">The Sellers grant the Buyer exclusivity until the longstop date and shall not, during that period, solicit, encourage or enter into discussions with any other party in relation to a sale of the Company or its business.</w:t>
      </w:r>
    </w:p>
    <w:p>
      <w:pPr>
        <w:spacing w:after="120" w:before="0"/>
      </w:pPr>
      <w:r>
        <w:rPr>
          <w:b/>
          <w:bCs/>
        </w:rPr>
        <w:t xml:space="preserve">10. Costs (binding)</w:t>
      </w:r>
    </w:p>
    <w:p>
      <w:pPr>
        <w:tabs>
          <w:tab w:val="left" w:pos="600"/>
        </w:tabs>
        <w:spacing w:after="100"/>
        <w:ind w:left="600" w:hanging="600"/>
      </w:pPr>
      <w:r>
        <w:t xml:space="preserve">10.1	</w:t>
      </w:r>
      <w:r>
        <w:t xml:space="preserve">Each party shall bear its own costs in connection with the Transaction, save that the Buyer shall bear the cost of any warranty and indemnity insurance premium.</w:t>
      </w:r>
    </w:p>
    <w:p>
      <w:pPr>
        <w:spacing w:after="120" w:before="0"/>
      </w:pPr>
      <w:r>
        <w:rPr>
          <w:b/>
          <w:bCs/>
        </w:rPr>
        <w:t xml:space="preserve">11. Confidentiality (binding)</w:t>
      </w:r>
    </w:p>
    <w:p>
      <w:pPr>
        <w:tabs>
          <w:tab w:val="left" w:pos="600"/>
        </w:tabs>
        <w:spacing w:after="100"/>
        <w:ind w:left="600" w:hanging="600"/>
      </w:pPr>
      <w:r>
        <w:t xml:space="preserve">11.1	</w:t>
      </w:r>
      <w:r>
        <w:t xml:space="preserve">The parties shall keep the existence and terms of these heads of terms and the proposed Transaction confidential in accordance with the mutual non-disclosure agreement dated 7 February 2025.</w:t>
      </w:r>
    </w:p>
    <w:p>
      <w:pPr>
        <w:spacing w:after="120" w:before="0"/>
      </w:pPr>
      <w:r>
        <w:rPr>
          <w:b/>
          <w:bCs/>
        </w:rPr>
        <w:t xml:space="preserve">12. Governing law (binding)</w:t>
      </w:r>
    </w:p>
    <w:p>
      <w:pPr>
        <w:tabs>
          <w:tab w:val="left" w:pos="600"/>
        </w:tabs>
        <w:spacing w:after="100"/>
        <w:ind w:left="600" w:hanging="600"/>
      </w:pPr>
      <w:r>
        <w:t xml:space="preserve">12.1	</w:t>
      </w:r>
      <w:r>
        <w:t xml:space="preserve">These heads of terms (and the binding clauses) are governed by the laws of England and Wales and subject to the exclusive jurisdiction of the courts of England and Wales.</w:t>
      </w:r>
    </w:p>
    <w:p>
      <w:pPr>
        <w:spacing w:after="120" w:before="200"/>
      </w:pPr>
      <w:r>
        <w:rPr>
          <w:b/>
          <w:bCs/>
        </w:rPr>
        <w:t xml:space="preserve">Agreed in principle: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For the Buyer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For the Sellers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Halloran Capital Partners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Geoffrey Westmere (for and on behalf of the Sellers)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Catherine Barlow, Managing Partner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Geoffrey Westmere, Chairman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777777"/>
        <w:sz w:val="14"/>
        <w:szCs w:val="14"/>
      </w:rPr>
      <w:t xml:space="preserve">Project Willow — Heads of Terms (Subject to Contract)</w:t>
    </w:r>
    <w:r>
      <w:rPr>
        <w:color w:val="777777"/>
        <w:sz w:val="14"/>
        <w:szCs w:val="14"/>
      </w:rPr>
      <w:t xml:space="preserve">	Page </w:t>
    </w:r>
    <w:r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4"/>
        <w:szCs w:val="14"/>
      </w:rPr>
      <w:t xml:space="preserve"> of </w:t>
    </w:r>
    <w:r>
      <w:rPr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sz w:val="24"/>
        <w:szCs w:val="24"/>
      </w:rPr>
      <w:t xml:space="preserve">Whitfield Carter LLP</w:t>
    </w:r>
  </w:p>
  <w:p>
    <w:pPr>
      <w:pBdr>
        <w:bottom w:val="single" w:color="2E4A7A" w:sz="6" w:space="4"/>
      </w:pBdr>
      <w:spacing w:after="120"/>
    </w:pPr>
    <w:r>
      <w:rPr>
        <w:color w:val="555555"/>
        <w:sz w:val="16"/>
        <w:szCs w:val="16"/>
      </w:rPr>
      <w:t xml:space="preserve">22 Bishopsgate, London EC2N 4BQ  ·  T +44 (0)20 7946 0521  ·  whitfieldcarter.com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Project_Willow_HeadsOfTerms.docx</dc:title>
  <dc:creator>Whitfield Carter LLP</dc:creator>
  <cp:lastModifiedBy>Un-named</cp:lastModifiedBy>
  <cp:revision>1</cp:revision>
  <dcterms:created xsi:type="dcterms:W3CDTF">2026-06-28T07:33:27.627Z</dcterms:created>
  <dcterms:modified xsi:type="dcterms:W3CDTF">2026-06-28T07:33:27.627Z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