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t xml:space="preserve"/>
      </w:r>
    </w:p>
    <w:p>
      <w:pPr>
        <w:spacing w:after="0" w:line="276"/>
      </w:pPr>
      <w:r>
        <w:t xml:space="preserve">Castle &amp; Vane LLP</w:t>
      </w:r>
    </w:p>
    <w:p>
      <w:pPr>
        <w:spacing w:after="0" w:line="276"/>
      </w:pPr>
      <w:r>
        <w:t xml:space="preserve">9 Temple Row, Birmingham B2 5LF</w:t>
      </w:r>
    </w:p>
    <w:p>
      <w:pPr>
        <w:spacing w:after="160" w:line="276"/>
      </w:pPr>
      <w:r>
        <w:t xml:space="preserve">For the attention of Mr Jonathan Vane</w:t>
      </w:r>
    </w:p>
    <w:p>
      <w:pPr>
        <w:spacing w:after="200" w:line="276"/>
      </w:pPr>
      <w:r>
        <w:t xml:space="preserve">Our ref: SW/JO/HAL-022    Your ref: JV/AH/FERN-114    Date: 19 May 2025</w:t>
      </w:r>
    </w:p>
    <w:p>
      <w:pPr>
        <w:spacing w:after="120" w:line="276"/>
      </w:pPr>
      <w:r>
        <w:t xml:space="preserve">Dear Sirs</w:t>
      </w:r>
    </w:p>
    <w:p>
      <w:pPr>
        <w:spacing w:after="160" w:line="276"/>
      </w:pPr>
      <w:r>
        <w:rPr>
          <w:b/>
          <w:bCs/>
        </w:rPr>
        <w:t xml:space="preserve">Halstead Aerospace Limited v Ferncliffe Alloys Limited — Claim No. HT-2025-000612 — Case Management Conference and directions</w:t>
      </w:r>
    </w:p>
    <w:p>
      <w:pPr>
        <w:spacing w:after="120" w:line="276"/>
      </w:pPr>
      <w:r>
        <w:t xml:space="preserve">We write ahead of the first Case Management Conference, now listed for 11 June 2025, with a view to agreeing directions to trial and narrowing the issues. We enclose our client's draft directions and proposed list of issues for disclosure.</w:t>
      </w:r>
    </w:p>
    <w:p>
      <w:pPr>
        <w:pStyle w:val="Heading2"/>
      </w:pPr>
      <w:r>
        <w:t xml:space="preserve">1.  Disclosure (PD 57AD)</w:t>
      </w:r>
    </w:p>
    <w:p>
      <w:pPr>
        <w:spacing w:after="120" w:line="276"/>
      </w:pPr>
      <w:r>
        <w:t xml:space="preserve">Our client proposes Extended Disclosure on Model D for the core technical issues (the condition of heats FA-7733 and FA-7741 at delivery, certification, and the cause of the alpha-case and chemistry departures), and Model C, by reference to an agreed list of requests, for the quantum issues. Our client served its initial disclosure list on 6 May 2025 (18 documents). We invite your client to confirm its disclosure model and to identify the custodians and date ranges for the heat-treatment, mill and release records we have requested.</w:t>
      </w:r>
    </w:p>
    <w:p>
      <w:pPr>
        <w:pStyle w:val="Heading2"/>
      </w:pPr>
      <w:r>
        <w:t xml:space="preserve">2.  Expert evidence</w:t>
      </w:r>
    </w:p>
    <w:p>
      <w:pPr>
        <w:spacing w:after="120" w:line="276"/>
      </w:pPr>
      <w:r>
        <w:t xml:space="preserve">Given the centrality of the metallurgical issues, our client proposes a single discipline of expert metallurgical evidence, one expert per party, with provision for a joint statement and, if the parties agree, a joint inspection of retained samples on an agreed protocol. Our client's expert is Dr Aileen Frost. We would welcome your client's proposals as to its own expert and as to the sample-examination protocol.</w:t>
      </w:r>
    </w:p>
    <w:p>
      <w:pPr>
        <w:pStyle w:val="Heading2"/>
      </w:pPr>
      <w:r>
        <w:t xml:space="preserve">3.  Witnesses of fact</w:t>
      </w:r>
    </w:p>
    <w:p>
      <w:pPr>
        <w:spacing w:after="120" w:line="276"/>
      </w:pPr>
      <w:r>
        <w:t xml:space="preserve">Our client presently anticipates calling two witnesses of fact (Ms Helen Forsythe, Operations Director, and Mr Idris Cole, Materials &amp; Procurement Manager). We invite your client to indicate the number and identity of its factual witnesses so that a realistic trial estimate can be given.</w:t>
      </w:r>
    </w:p>
    <w:p>
      <w:pPr>
        <w:pStyle w:val="Heading2"/>
      </w:pPr>
      <w:r>
        <w:t xml:space="preserve">4.  Trial estimate and listing</w:t>
      </w:r>
    </w:p>
    <w:p>
      <w:pPr>
        <w:spacing w:after="120" w:line="276"/>
      </w:pPr>
      <w:r>
        <w:t xml:space="preserve">Subject to the directions ultimately given, our client estimates a trial length of 5 days (including judicial pre-reading), suitable for listing in the first available window after April 2026. We would be content for the matter to be tried by a judge of the Technology and Construction Court.</w:t>
      </w:r>
    </w:p>
    <w:p>
      <w:pPr>
        <w:pStyle w:val="Heading2"/>
      </w:pPr>
      <w:r>
        <w:t xml:space="preserve">5.  ADR</w:t>
      </w:r>
    </w:p>
    <w:p>
      <w:pPr>
        <w:spacing w:after="120" w:line="276"/>
      </w:pPr>
      <w:r>
        <w:t xml:space="preserve">Our client remains willing to mediate and considers that the matter is suitable for ADR once expert reports have been exchanged. We suggest a mediation window be built into the directions timetable.</w:t>
      </w:r>
    </w:p>
    <w:p>
      <w:pPr>
        <w:spacing w:after="120" w:line="276"/>
      </w:pPr>
      <w:r>
        <w:t xml:space="preserve">We look forward to hearing from you, ideally with agreed or counter-proposed directions, by 4 June 2025 so that, so far as possible, agreed directions can be placed before the Court.</w:t>
      </w:r>
    </w:p>
    <w:p>
      <w:pPr>
        <w:spacing w:after="120"/>
      </w:pPr>
      <w:r>
        <w:t xml:space="preserve"/>
      </w:r>
    </w:p>
    <w:p>
      <w:pPr>
        <w:spacing w:after="200" w:line="276"/>
      </w:pPr>
      <w:r>
        <w:t xml:space="preserve">Yours faithfully</w:t>
      </w:r>
    </w:p>
    <w:p>
      <w:pPr>
        <w:spacing w:after="0" w:line="276"/>
      </w:pPr>
      <w:r>
        <w:rPr>
          <w:b/>
          <w:bCs/>
        </w:rPr>
        <w:t xml:space="preserve">Whitfield Carter LLP</w:t>
      </w:r>
    </w:p>
    <w:p>
      <w:pPr>
        <w:spacing w:after="120" w:line="276"/>
      </w:pPr>
      <w:r>
        <w:rPr>
          <w:sz w:val="18"/>
          <w:szCs w:val="18"/>
        </w:rPr>
        <w:t xml:space="preserve">James Osei, Senior Associate  |  james.osei@whitfieldcarter.com  |  Direct: +44 (0)20 7946 0034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pPr>
    <w:r>
      <w:rPr>
        <w:color w:val="808080"/>
        <w:sz w:val="13"/>
        <w:szCs w:val="13"/>
      </w:rPr>
      <w:t xml:space="preserve">Whitfield Carter LLP is a limited liability partnership registered in England &amp; Wales (OC# 384217). 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6"/>
        <w:szCs w:val="26"/>
      </w:rPr>
      <w:t xml:space="preserve">WHITFIELD CARTER LLP</w:t>
    </w:r>
  </w:p>
  <w:p>
    <w:pPr>
      <w:spacing w:after="0"/>
      <w:jc w:val="right"/>
    </w:pPr>
    <w:r>
      <w:rPr>
        <w:color w:val="595959"/>
        <w:sz w:val="16"/>
        <w:szCs w:val="16"/>
      </w:rPr>
      <w:t xml:space="preserve">22 Bishopsgate, London EC2N 4BQ</w:t>
    </w:r>
  </w:p>
  <w:p>
    <w:pPr>
      <w:spacing w:after="60"/>
      <w:jc w:val="right"/>
    </w:pPr>
    <w:r>
      <w:rPr>
        <w:color w:val="595959"/>
        <w:sz w:val="16"/>
        <w:szCs w:val="16"/>
      </w:rPr>
      <w:t xml:space="preserve">T +44 (0)20 7946 0000  |  www.whitfieldcarter.com</w:t>
    </w:r>
  </w:p>
  <w:p>
    <w:pPr>
      <w:pBdr>
        <w:bottom w:val="single" w:color="1F3864" w:sz="6" w:space="1"/>
      </w:pBdr>
      <w:spacing w:after="12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lvl w:ilvl="1" w15:tentative="1">
      <w:start w:val="1"/>
      <w:numFmt w:val="lowerLetter"/>
      <w:lvlText w:val="(%2)"/>
      <w:lvlJc w:val="left"/>
      <w:pPr>
        <w:ind w:left="1134" w:hanging="454"/>
      </w:pPr>
    </w:lvl>
    <w:lvl w:ilvl="2" w15:tentative="1">
      <w:start w:val="1"/>
      <w:numFmt w:val="lowerRoman"/>
      <w:lvlText w:val="(%3)"/>
      <w:lvlJc w:val="left"/>
      <w:pPr>
        <w:ind w:left="1701" w:hanging="454"/>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567"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2026-06-27T13:19:18.109Z</dcterms:created>
  <dcterms:modified xsi:type="dcterms:W3CDTF">2026-06-27T13:19:18.109Z</dcterms:modified>
</cp:coreProperties>
</file>

<file path=docProps/custom.xml><?xml version="1.0" encoding="utf-8"?>
<Properties xmlns="http://schemas.openxmlformats.org/officeDocument/2006/custom-properties" xmlns:vt="http://schemas.openxmlformats.org/officeDocument/2006/docPropsVTypes"/>
</file>