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t xml:space="preserve"/>
      </w:r>
    </w:p>
    <w:p>
      <w:pPr>
        <w:spacing w:after="0" w:line="276"/>
      </w:pPr>
      <w:r>
        <w:rPr>
          <w:b/>
          <w:bCs/>
          <w:i/>
          <w:iCs/>
        </w:rPr>
        <w:t xml:space="preserve">Strictly private and confidential</w:t>
      </w:r>
    </w:p>
    <w:p>
      <w:pPr>
        <w:spacing w:after="160" w:line="276"/>
      </w:pPr>
      <w:r>
        <w:rPr>
          <w:i/>
          <w:iCs/>
        </w:rPr>
        <w:t xml:space="preserve">By email and by post</w:t>
      </w:r>
    </w:p>
    <w:p>
      <w:pPr>
        <w:spacing w:after="0" w:line="276"/>
      </w:pPr>
      <w:r>
        <w:t xml:space="preserve">The Directors</w:t>
      </w:r>
    </w:p>
    <w:p>
      <w:pPr>
        <w:spacing w:after="0" w:line="276"/>
      </w:pPr>
      <w:r>
        <w:t xml:space="preserve">Ferncliffe Alloys Limited</w:t>
      </w:r>
    </w:p>
    <w:p>
      <w:pPr>
        <w:spacing w:after="0" w:line="276"/>
      </w:pPr>
      <w:r>
        <w:t xml:space="preserve">Brearley Works, Tinsley Park Road</w:t>
      </w:r>
    </w:p>
    <w:p>
      <w:pPr>
        <w:spacing w:after="160" w:line="276"/>
      </w:pPr>
      <w:r>
        <w:t xml:space="preserve">Sheffield S9 5DA</w:t>
      </w:r>
    </w:p>
    <w:p>
      <w:pPr>
        <w:spacing w:after="200" w:line="276"/>
      </w:pPr>
      <w:r>
        <w:t xml:space="preserve">Our ref: SW/JO/HAL-022    Your ref: —    Date: 30 May 2024</w:t>
      </w:r>
    </w:p>
    <w:p>
      <w:pPr>
        <w:spacing w:after="120" w:line="276"/>
      </w:pPr>
      <w:r>
        <w:t xml:space="preserve">Dear Sirs</w:t>
      </w:r>
    </w:p>
    <w:p>
      <w:pPr>
        <w:spacing w:after="160" w:line="276"/>
      </w:pPr>
      <w:r>
        <w:rPr>
          <w:b/>
          <w:bCs/>
        </w:rPr>
        <w:t xml:space="preserve">Letter before claim — Supply of non-conforming Ti-6Al-4V (Grade 5) titanium bar stock to Halstead Aerospace Limited under Supply Agreement dated 14 November 2023 (Heats FA-7733 and FA-7741)</w:t>
      </w:r>
    </w:p>
    <w:p>
      <w:pPr>
        <w:spacing w:after="120" w:line="276"/>
      </w:pPr>
      <w:r>
        <w:t xml:space="preserve">We act for Halstead Aerospace Limited (“Halstead” or “our client”) of Sentinel House, Aztec West, Bristol BS32 4SY. This letter is sent in accordance with the Pre-Action Protocol for Construction and Engineering Disputes and, where applicable, the Practice Direction on Pre-Action Conduct. Please read it carefully and refer it to your insurers and your solicitors immediately.</w:t>
      </w:r>
    </w:p>
    <w:p>
      <w:pPr>
        <w:pStyle w:val="Heading2"/>
      </w:pPr>
      <w:r>
        <w:t xml:space="preserve">1.  The parties and the contract</w:t>
      </w:r>
    </w:p>
    <w:p>
      <w:pPr>
        <w:spacing w:after="120" w:line="276"/>
      </w:pPr>
      <w:r>
        <w:t xml:space="preserve">Our client is a Tier-1 aerospace manufacturer of composite and machined airframe structures. Your company, Ferncliffe Alloys Limited (“Ferncliffe”), is a stockholder and supplier of stainless and special-steel and titanium bar.</w:t>
      </w:r>
    </w:p>
    <w:p>
      <w:pPr>
        <w:spacing w:after="120" w:line="276"/>
      </w:pPr>
      <w:r>
        <w:t xml:space="preserve">By a written Supply Agreement dated 14 November 2023 (the “Agreement”), Ferncliffe agreed to supply our client with titanium alloy bar stock to grade Ti-6Al-4V (AMS 4928 / Grade 5) for use in the manufacture of safety-critical machined wing-rib fittings on our client's CM-7 advanced air mobility programme. The Agreement incorporated our client's material specification HAS-MAT-114 (rev. C) and contained, at clause 8, express warranties that all goods supplied would (a) conform to the specification and to AMS 4928, (b) be of satisfactory quality and fit for their known purpose, and (c) be supplied with valid, accurate certificates of conformity and mill test certificates.</w:t>
      </w:r>
    </w:p>
    <w:p>
      <w:pPr>
        <w:pStyle w:val="Heading2"/>
      </w:pPr>
      <w:r>
        <w:t xml:space="preserve">2.  The orders and delivery</w:t>
      </w:r>
    </w:p>
    <w:p>
      <w:pPr>
        <w:spacing w:after="120" w:line="276"/>
      </w:pPr>
      <w:r>
        <w:t xml:space="preserve">By purchase order HAL-PO-44119 dated 9 January 2024, our client ordered 4,280 kg of bar against the Agreement. Ferncliffe delivered the bar drawn from two heats, FA-7733 and FA-7741, on 2 February 2024, accompanied by certificates of conformity and mill certificates asserting full conformity with AMS 4928 and HAS-MAT-114.</w:t>
      </w:r>
    </w:p>
    <w:p>
      <w:pPr>
        <w:pStyle w:val="Heading2"/>
      </w:pPr>
      <w:r>
        <w:t xml:space="preserve">3.  The non-conformity</w:t>
      </w:r>
    </w:p>
    <w:p>
      <w:pPr>
        <w:spacing w:after="120" w:line="276"/>
      </w:pPr>
      <w:r>
        <w:t xml:space="preserve">On incoming inspection and subsequent in-process testing our client identified that bar from both heats was materially non-conforming. In summary, and as confirmed by independent metallurgical testing carried out by Argent Metallurgical Services (report AMS-TR-0412 dated 5 April 2024):</w:t>
      </w:r>
    </w:p>
    <w:p>
      <w:pPr>
        <w:pStyle w:val="ListParagraph"/>
        <w:numPr>
          <w:ilvl w:val="0"/>
          <w:numId w:val="2"/>
        </w:numPr>
        <w:spacing w:after="120" w:line="276"/>
      </w:pPr>
      <w:r>
        <w:t xml:space="preserve">The aluminium content of heat FA-7741 fell outside the AMS 4928 range, and the interstitial oxygen content of both heats exceeded the maximum permitted, indicating a departure from the certified chemistry.</w:t>
      </w:r>
    </w:p>
    <w:p>
      <w:pPr>
        <w:pStyle w:val="ListParagraph"/>
        <w:numPr>
          <w:ilvl w:val="0"/>
          <w:numId w:val="2"/>
        </w:numPr>
        <w:spacing w:after="120" w:line="276"/>
      </w:pPr>
      <w:r>
        <w:t xml:space="preserve">Both heats exhibited an excessive surface alpha-case layer and localised beta-flecks, rendering the bar unsuitable for safety-critical rotating and load-bearing aerospace components and outside the microstructural acceptance criteria of HAS-MAT-114.</w:t>
      </w:r>
    </w:p>
    <w:p>
      <w:pPr>
        <w:pStyle w:val="ListParagraph"/>
        <w:numPr>
          <w:ilvl w:val="0"/>
          <w:numId w:val="2"/>
        </w:numPr>
        <w:spacing w:after="120" w:line="276"/>
      </w:pPr>
      <w:r>
        <w:t xml:space="preserve">The certificates of conformity supplied with the bar did not reflect the true condition of the material and were, accordingly, inaccurate.</w:t>
      </w:r>
    </w:p>
    <w:p>
      <w:pPr>
        <w:spacing w:after="120" w:line="276"/>
      </w:pPr>
      <w:r>
        <w:t xml:space="preserve">The defects were latent and not reasonably discoverable until the bar had been received and tested. By the time the non-conformity was confirmed, our client had already committed 312 fittings to machining from the affected material.</w:t>
      </w:r>
    </w:p>
    <w:p>
      <w:pPr>
        <w:pStyle w:val="Heading2"/>
      </w:pPr>
      <w:r>
        <w:t xml:space="preserve">4.  Breach</w:t>
      </w:r>
    </w:p>
    <w:p>
      <w:pPr>
        <w:spacing w:after="120" w:line="276"/>
      </w:pPr>
      <w:r>
        <w:t xml:space="preserve">Ferncliffe is in breach of the express warranties in clause 8 of the Agreement and of the terms implied by sections 13 and 14 of the Sale of Goods Act 1979, in that the bar did not conform to specification, was not of satisfactory quality, was not fit for the purpose made known to Ferncliffe, and was not supplied with accurate certification.</w:t>
      </w:r>
    </w:p>
    <w:p>
      <w:pPr>
        <w:pStyle w:val="Heading2"/>
      </w:pPr>
      <w:r>
        <w:t xml:space="preserve">5.  Loss and damage</w:t>
      </w:r>
    </w:p>
    <w:p>
      <w:pPr>
        <w:spacing w:after="120" w:line="276"/>
      </w:pPr>
      <w:r>
        <w:t xml:space="preserve">As a direct and foreseeable consequence of the breaches, our client has suffered loss presently estimated to exceed £2.9 million, comprising (in outline) the machining/conversion value of 312 scrapped fittings, the cost of the rejected raw bar, the price premium on expedited replacement material procured from an alternative supplier, line-stop and fixed-overhead under-recovery on the CM-7 cell, exposure to liquidated damages to our client's own customer for late shipset deliveries, and the cost of metallurgical investigation, re-inspection and screening. A full itemised schedule of loss will accompany the Particulars of Claim should proceedings prove necessary.</w:t>
      </w:r>
    </w:p>
    <w:p>
      <w:pPr>
        <w:pStyle w:val="Heading2"/>
      </w:pPr>
      <w:r>
        <w:t xml:space="preserve">6.  What we require</w:t>
      </w:r>
    </w:p>
    <w:p>
      <w:pPr>
        <w:spacing w:after="120" w:line="276"/>
      </w:pPr>
      <w:r>
        <w:t xml:space="preserve">We invite Ferncliffe, within 14 days of the date of this letter, to: (a) admit liability; (b) confirm its insurance position and provide its insurers' details; and (c) put forward proposals for payment of our client's loss, alternatively to agree to a without-prejudice meeting and/or mediation under the Protocol.</w:t>
      </w:r>
    </w:p>
    <w:p>
      <w:pPr>
        <w:pStyle w:val="Heading2"/>
      </w:pPr>
      <w:r>
        <w:t xml:space="preserve">7.  Documents</w:t>
      </w:r>
    </w:p>
    <w:p>
      <w:pPr>
        <w:spacing w:after="120" w:line="276"/>
      </w:pPr>
      <w:r>
        <w:t xml:space="preserve">Our client relies in particular on the Agreement, purchase order HAL-PO-44119, the certificates of conformity and mill certificates, the incoming inspection report, non-conformance report QN-2024-0337, and the Argent Metallurgical report AMS-TR-0412. Copies are available on request. We ask that Ferncliffe preserve all documents (including electronic documents and metadata) relating to the manufacture, testing, certification and supply of heats FA-7733 and FA-7741.</w:t>
      </w:r>
    </w:p>
    <w:p>
      <w:pPr>
        <w:spacing w:after="120" w:line="276"/>
      </w:pPr>
      <w:r>
        <w:t xml:space="preserve">This letter is written in accordance with the Pre-Action Protocol. Our client reserves all its rights. If we do not receive a substantive response within the period set out above, our client will commence proceedings without further notice and will rely on this letter on the question of costs.</w:t>
      </w:r>
    </w:p>
    <w:p>
      <w:pPr>
        <w:spacing w:after="120"/>
      </w:pPr>
      <w:r>
        <w:t xml:space="preserve"/>
      </w:r>
    </w:p>
    <w:p>
      <w:pPr>
        <w:spacing w:after="240" w:line="276"/>
      </w:pPr>
      <w:r>
        <w:t xml:space="preserve">Yours faithfully</w:t>
      </w:r>
    </w:p>
    <w:p>
      <w:pPr>
        <w:spacing w:after="0" w:line="276"/>
      </w:pPr>
      <w:r>
        <w:rPr>
          <w:b/>
          <w:bCs/>
        </w:rPr>
        <w:t xml:space="preserve">Whitfield Carter LLP</w:t>
      </w:r>
    </w:p>
    <w:p>
      <w:pPr>
        <w:spacing w:after="0" w:line="276"/>
      </w:pPr>
      <w:r>
        <w:t xml:space="preserve">Whitfield Carter LLP</w:t>
      </w:r>
    </w:p>
    <w:p>
      <w:pPr>
        <w:spacing w:after="120" w:line="276"/>
      </w:pPr>
      <w:r>
        <w:rPr>
          <w:sz w:val="18"/>
          <w:szCs w:val="18"/>
        </w:rPr>
        <w:t xml:space="preserve">Sarah Whitfield, Partner  |  sarah.whitfield@whitfieldcarter.com  |  Direct: +44 (0)20 7946 0012</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spacing w:before="60"/>
    </w:pPr>
    <w:r>
      <w:rPr>
        <w:color w:val="808080"/>
        <w:sz w:val="13"/>
        <w:szCs w:val="13"/>
      </w:rPr>
      <w:t xml:space="preserve">Whitfield Carter LLP is a limited liability partnership registered in England &amp; Wales (OC# 384217). Confidential and may be legally privileged.</w:t>
    </w:r>
  </w:p>
  <w:p>
    <w:pPr>
      <w:jc w:val="right"/>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color w:val="1F3864"/>
        <w:sz w:val="26"/>
        <w:szCs w:val="26"/>
      </w:rPr>
      <w:t xml:space="preserve">WHITFIELD CARTER LLP</w:t>
    </w:r>
  </w:p>
  <w:p>
    <w:pPr>
      <w:spacing w:after="0"/>
      <w:jc w:val="right"/>
    </w:pPr>
    <w:r>
      <w:rPr>
        <w:color w:val="595959"/>
        <w:sz w:val="16"/>
        <w:szCs w:val="16"/>
      </w:rPr>
      <w:t xml:space="preserve">22 Bishopsgate, London EC2N 4BQ</w:t>
    </w:r>
  </w:p>
  <w:p>
    <w:pPr>
      <w:spacing w:after="60"/>
      <w:jc w:val="right"/>
    </w:pPr>
    <w:r>
      <w:rPr>
        <w:color w:val="595959"/>
        <w:sz w:val="16"/>
        <w:szCs w:val="16"/>
      </w:rPr>
      <w:t xml:space="preserve">T +44 (0)20 7946 0000  |  www.whitfieldcarter.com</w:t>
    </w:r>
  </w:p>
  <w:p>
    <w:pPr>
      <w:pBdr>
        <w:bottom w:val="single" w:color="1F3864" w:sz="6" w:space="1"/>
      </w:pBdr>
      <w:spacing w:after="12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abstractNum>
  <w:abstractNum w:abstractNumId="3" w15:restartNumberingAfterBreak="0">
    <w:multiLevelType w:val="hybridMultilevel"/>
    <w:lvl w:ilvl="0" w15:tentative="1">
      <w:start w:val="1"/>
      <w:numFmt w:val="decimal"/>
      <w:lvlText w:val="%1."/>
      <w:lvlJc w:val="left"/>
      <w:pPr>
        <w:ind w:left="567" w:hanging="567"/>
      </w:pPr>
    </w:lvl>
    <w:lvl w:ilvl="1" w15:tentative="1">
      <w:start w:val="1"/>
      <w:numFmt w:val="lowerLetter"/>
      <w:lvlText w:val="(%2)"/>
      <w:lvlJc w:val="left"/>
      <w:pPr>
        <w:ind w:left="1134" w:hanging="454"/>
      </w:pPr>
    </w:lvl>
    <w:lvl w:ilvl="2" w15:tentative="1">
      <w:start w:val="1"/>
      <w:numFmt w:val="lowerRoman"/>
      <w:lvlText w:val="(%3)"/>
      <w:lvlJc w:val="left"/>
      <w:pPr>
        <w:ind w:left="1701" w:hanging="454"/>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bullet"/>
      <w:lvlText w:val="•"/>
      <w:lvlJc w:val="left"/>
      <w:pPr>
        <w:ind w:left="567" w:hanging="360"/>
      </w:pPr>
    </w:lvl>
  </w:abstractNum>
  <w:num w:numId="1">
    <w:abstractNumId w:val="1"/>
    <w:lvlOverride w:ilvl="0">
      <w:startOverride w:val="1"/>
    </w:lvlOverride>
  </w:num>
  <w:num w:numId="2">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2026-06-27T13:19:17.974Z</dcterms:created>
  <dcterms:modified xsi:type="dcterms:W3CDTF">2026-06-27T13:19:17.975Z</dcterms:modified>
</cp:coreProperties>
</file>

<file path=docProps/custom.xml><?xml version="1.0" encoding="utf-8"?>
<Properties xmlns="http://schemas.openxmlformats.org/officeDocument/2006/custom-properties" xmlns:vt="http://schemas.openxmlformats.org/officeDocument/2006/docPropsVTypes"/>
</file>