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right"/>
      </w:pPr>
      <w:r>
        <w:rPr>
          <w:b/>
          <w:bCs/>
          <w:sz w:val="26"/>
          <w:szCs w:val="26"/>
        </w:rPr>
        <w:t xml:space="preserve">CASTLE &amp; VANE LLP</w:t>
      </w:r>
    </w:p>
    <w:p>
      <w:pPr>
        <w:spacing w:after="0" w:line="276"/>
        <w:jc w:val="right"/>
      </w:pPr>
      <w:r>
        <w:rPr>
          <w:sz w:val="16"/>
          <w:szCs w:val="16"/>
        </w:rPr>
        <w:t xml:space="preserve">Solicitors  |  9 Temple Row, Birmingham B2 5LF</w:t>
      </w:r>
    </w:p>
    <w:p>
      <w:pPr>
        <w:spacing w:after="200" w:line="276"/>
        <w:jc w:val="right"/>
      </w:pPr>
      <w:r>
        <w:rPr>
          <w:sz w:val="16"/>
          <w:szCs w:val="16"/>
        </w:rPr>
        <w:t xml:space="preserve">DX 13042 Birmingham 1  |  www.castlevane.com</w:t>
      </w:r>
    </w:p>
    <w:p>
      <w:pPr>
        <w:spacing w:after="160" w:line="276"/>
      </w:pPr>
      <w:r>
        <w:rPr>
          <w:b/>
          <w:bCs/>
          <w:i/>
          <w:iCs/>
        </w:rPr>
        <w:t xml:space="preserve">Without prejudice save as to costs</w:t>
      </w:r>
    </w:p>
    <w:p>
      <w:pPr>
        <w:spacing w:after="0" w:line="276"/>
      </w:pPr>
      <w:r>
        <w:t xml:space="preserve">Whitfield Carter LLP</w:t>
      </w:r>
    </w:p>
    <w:p>
      <w:pPr>
        <w:spacing w:after="0" w:line="276"/>
      </w:pPr>
      <w:r>
        <w:t xml:space="preserve">22 Bishopsgate, London EC2N 4BQ</w:t>
      </w:r>
    </w:p>
    <w:p>
      <w:pPr>
        <w:spacing w:after="160" w:line="276"/>
      </w:pPr>
      <w:r>
        <w:t xml:space="preserve">For the attention of Ms Sarah Whitfield</w:t>
      </w:r>
    </w:p>
    <w:p>
      <w:pPr>
        <w:spacing w:after="200" w:line="276"/>
      </w:pPr>
      <w:r>
        <w:t xml:space="preserve">Our ref: JV/AH/FERN-114    Your ref: SW/JO/HAL-022    Date: 28 June 2024</w:t>
      </w:r>
    </w:p>
    <w:p>
      <w:pPr>
        <w:spacing w:after="120" w:line="276"/>
      </w:pPr>
      <w:r>
        <w:t xml:space="preserve">Dear Madam</w:t>
      </w:r>
    </w:p>
    <w:p>
      <w:pPr>
        <w:spacing w:after="160" w:line="276"/>
      </w:pPr>
      <w:r>
        <w:rPr>
          <w:b/>
          <w:bCs/>
        </w:rPr>
        <w:t xml:space="preserve">Halstead Aerospace Limited / Ferncliffe Alloys Limited — Heats FA-7733 and FA-7741</w:t>
      </w:r>
    </w:p>
    <w:p>
      <w:pPr>
        <w:spacing w:after="120" w:line="276"/>
      </w:pPr>
      <w:r>
        <w:t xml:space="preserve">We act for Ferncliffe Alloys Limited and write in response to your letter before claim dated 30 May 2024. Liability is denied. While our client takes your client's concerns seriously and has co-operated with the investigation, the claim as formulated is not accepted, for the following reasons.</w:t>
      </w:r>
    </w:p>
    <w:p>
      <w:pPr>
        <w:pStyle w:val="ListParagraph"/>
        <w:numPr>
          <w:ilvl w:val="0"/>
          <w:numId w:val="2"/>
        </w:numPr>
        <w:spacing w:after="120" w:line="276"/>
      </w:pPr>
      <w:r>
        <w:t xml:space="preserve">Conformity at delivery. Each consignment was supplied with mill certificates and certificates of conformity from our client's accredited sub-tier mill confirming that the heats met AMS 4928 at the point of release. Our client is entitled to rely on those certificates and puts your client to proof that the certified chemistry was inaccurate as at the date of delivery.</w:t>
      </w:r>
    </w:p>
    <w:p>
      <w:pPr>
        <w:pStyle w:val="ListParagraph"/>
        <w:numPr>
          <w:ilvl w:val="0"/>
          <w:numId w:val="2"/>
        </w:numPr>
        <w:spacing w:after="120" w:line="276"/>
      </w:pPr>
      <w:r>
        <w:t xml:space="preserve">Handling and processing. Alpha-case is a surface phenomenon that can be introduced or aggravated by elevated-temperature processing after delivery. Our client reasonably requires disclosure of your client's heat-treatment, machining and storage records before any causal link between the condition of the bar at delivery and the scrapping of finished parts can be accepted.</w:t>
      </w:r>
    </w:p>
    <w:p>
      <w:pPr>
        <w:pStyle w:val="ListParagraph"/>
        <w:numPr>
          <w:ilvl w:val="0"/>
          <w:numId w:val="2"/>
        </w:numPr>
        <w:spacing w:after="120" w:line="276"/>
      </w:pPr>
      <w:r>
        <w:t xml:space="preserve">Inspection and acceptance. Your client accepted the first batch on delivery and did not raise any incoming-inspection rejection until some six weeks later, by which time 312 parts had been committed to machining. Our client will say that a prudent manufacturer of safety-critical parts would have completed incoming testing before releasing the material to production, and that part of the loss claimed flows from your client's own process, not from any breach by our client.</w:t>
      </w:r>
    </w:p>
    <w:p>
      <w:pPr>
        <w:pStyle w:val="ListParagraph"/>
        <w:numPr>
          <w:ilvl w:val="0"/>
          <w:numId w:val="2"/>
        </w:numPr>
        <w:spacing w:after="120" w:line="276"/>
      </w:pPr>
      <w:r>
        <w:t xml:space="preserve">Quantum. The sums claimed are, in any event, excessive, unparticularised and not admitted. In particular our client does not accept (a) the rate of £4,570 per fitting for “conversion value”; (b) that 14 days of line-stop at £21,500 per day is attributable to our client as opposed to your client's wider production schedule; or (c) that any liquidated-damages exposure to your client's own customer was within our client's reasonable contemplation. Remoteness and failure to mitigate are reserved.</w:t>
      </w:r>
    </w:p>
    <w:p>
      <w:pPr>
        <w:spacing w:after="120" w:line="276"/>
      </w:pPr>
      <w:r>
        <w:t xml:space="preserve">Notwithstanding the above, our client is willing to attend a without-prejudice meeting or to mediate, and to consider a joint metallurgical examination of retained samples on an agreed protocol. We suggest the parties exchange the key technical documents identified above with a view to narrowing the issues.</w:t>
      </w:r>
    </w:p>
    <w:p>
      <w:pPr>
        <w:spacing w:after="120" w:line="276"/>
      </w:pPr>
      <w:r>
        <w:t xml:space="preserve">Our client reserves all of its rights. This letter is not, and is not to be treated as, an admission of any kind.</w:t>
      </w:r>
    </w:p>
    <w:p>
      <w:pPr>
        <w:spacing w:after="120"/>
      </w:pPr>
      <w:r>
        <w:t xml:space="preserve"/>
      </w:r>
    </w:p>
    <w:p>
      <w:pPr>
        <w:spacing w:after="200" w:line="276"/>
      </w:pPr>
      <w:r>
        <w:t xml:space="preserve">Yours faithfully</w:t>
      </w:r>
    </w:p>
    <w:p>
      <w:pPr>
        <w:spacing w:after="0" w:line="276"/>
      </w:pPr>
      <w:r>
        <w:rPr>
          <w:b/>
          <w:bCs/>
        </w:rPr>
        <w:t xml:space="preserve">Castle &amp; Vane LLP</w:t>
      </w:r>
    </w:p>
    <w:p>
      <w:pPr>
        <w:spacing w:after="120" w:line="276"/>
      </w:pPr>
      <w:r>
        <w:rPr>
          <w:sz w:val="18"/>
          <w:szCs w:val="18"/>
        </w:rPr>
        <w:t xml:space="preserve">Jonathan Vane, Partner  |  jonathan.vane@castlevane.com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Response to Letter Before Action — Castle &amp; Vane LLP, 28 June 2024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2026-06-27T13:19:18.057Z</dcterms:created>
  <dcterms:modified xsi:type="dcterms:W3CDTF">2026-06-27T13:19:18.057Z</dcterms:modified>
</cp:coreProperties>
</file>

<file path=docProps/custom.xml><?xml version="1.0" encoding="utf-8"?>
<Properties xmlns="http://schemas.openxmlformats.org/officeDocument/2006/custom-properties" xmlns:vt="http://schemas.openxmlformats.org/officeDocument/2006/docPropsVTypes"/>
</file>