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8B0000"/>
          <w:sz w:val="20"/>
          <w:szCs w:val="20"/>
        </w:rPr>
        <w:t xml:space="preserve">PRIVILEGED &amp; CONFIDENTIAL — LEGAL ADVICE</w:t>
      </w:r>
    </w:p>
    <w:p>
      <w:pPr>
        <w:spacing w:after="160"/>
        <w:jc w:val="center"/>
      </w:pPr>
      <w:r>
        <w:rPr>
          <w:b/>
          <w:bCs/>
          <w:sz w:val="26"/>
          <w:szCs w:val="26"/>
        </w:rPr>
        <w:t xml:space="preserve">ADVICE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To</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Robert Falconer (CEO); Grace Underwood (Group Finance Director), Halstead Aerospace Limited</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From</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James Osei, Whitfield Carter LLP</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Date</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20 November 2025</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Matter</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Project Cedar — key risk points on the Caldera MSA (ref WC-00131)</w:t>
            </w:r>
          </w:p>
        </w:tc>
      </w:tr>
    </w:tbl>
    <w:p>
      <w:pPr>
        <w:spacing w:before="120"/>
      </w:pPr>
      <w:r>
        <w:t xml:space="preserve"> </w:t>
      </w:r>
    </w:p>
    <w:p>
      <w:pPr>
        <w:pStyle w:val="Heading1"/>
      </w:pPr>
      <w:r>
        <w:t xml:space="preserve">PURPOSE</w:t>
      </w:r>
    </w:p>
    <w:p>
      <w:pPr>
        <w:spacing w:after="100"/>
        <w:jc w:val="both"/>
      </w:pPr>
      <w:r>
        <w:t xml:space="preserve">This note summarises the principal legal and commercial risk points in the current draft of the manufacturing and supply agreement with Caldera Mobility, ahead of the negotiation session on 26 November. It is privileged and should not be shared outside the deal team.</w:t>
      </w:r>
    </w:p>
    <w:p>
      <w:pPr>
        <w:pStyle w:val="Heading1"/>
      </w:pPr>
      <w:r>
        <w:t xml:space="preserve">EXCLUSIVITY</w:t>
      </w:r>
    </w:p>
    <w:p>
      <w:pPr>
        <w:spacing w:after="100"/>
        <w:jc w:val="both"/>
      </w:pPr>
      <w:r>
        <w:t xml:space="preserve">Caldera's draft requires Halstead not to supply the Products, or anything derived from the specification, to any other eVTOL manufacturer in the UK, EEA or North America for the full term (clause 3.2). This is broad. We recommend narrowing it to the specific CM-7 assemblies and seeking a carve-out for generic composite processes that pre-date the relationship, to avoid foreclosing Halstead's wider business. We have flagged this as a priority point.</w:t>
      </w:r>
    </w:p>
    <w:p>
      <w:pPr>
        <w:pStyle w:val="Heading1"/>
      </w:pPr>
      <w:r>
        <w:t xml:space="preserve">LIABILITY CAP AND CARVE-OUTS</w:t>
      </w:r>
    </w:p>
    <w:p>
      <w:pPr>
        <w:spacing w:after="100"/>
        <w:jc w:val="both"/>
      </w:pPr>
      <w:r>
        <w:t xml:space="preserve">The liability cap is set at 125% of trailing 12-month charges (clause 15.3). That is acceptable for series supply, but note the carve-outs: the IPR indemnity is uncapped and the product-liability indemnity is capped only at the insurance level (£25m). Given the aerospace context and the consequences of an in-service escape, we consider the product-liability position is the single largest exposure. We recommend confirming that Halstead's aviation products liability cover is in place at not less than £25m before signature and that the policy responds to the indemnity wording.</w:t>
      </w:r>
    </w:p>
    <w:p>
      <w:pPr>
        <w:pStyle w:val="Heading1"/>
      </w:pPr>
      <w:r>
        <w:t xml:space="preserve">LIQUIDATED DAMAGES</w:t>
      </w:r>
    </w:p>
    <w:p>
      <w:pPr>
        <w:spacing w:after="100"/>
        <w:jc w:val="both"/>
      </w:pPr>
      <w:r>
        <w:t xml:space="preserve">Late-delivery liquidated damages of 0.5% per week capped at 7.5% (clause 7.2) are within the enforceable range and are expressed as the customer's sole financial remedy for delay. We are comfortable these are a genuine pre-estimate of loss and not a penalty, provided Halstead's planning assumptions support the firm-order window.</w:t>
      </w:r>
    </w:p>
    <w:p>
      <w:pPr>
        <w:pStyle w:val="Heading1"/>
      </w:pPr>
      <w:r>
        <w:t xml:space="preserve">IPR ALLOCATION</w:t>
      </w:r>
    </w:p>
    <w:p>
      <w:pPr>
        <w:spacing w:after="100"/>
        <w:jc w:val="both"/>
      </w:pPr>
      <w:r>
        <w:t xml:space="preserve">Foreground IPR relating to the Products vests in Caldera with a licence-back of Halstead background IPR (clause 13.3). This is the right structure but the licence-back must be clearly drafted so Halstead retains freedom to use its own composite manufacturing know-how on other programmes. We have proposed tightening the definition of Foreground IPR to exclude general process improvements.</w:t>
      </w:r>
    </w:p>
    <w:p>
      <w:pPr>
        <w:pStyle w:val="Heading1"/>
      </w:pPr>
      <w:r>
        <w:t xml:space="preserve">RECOMMENDATION</w:t>
      </w:r>
    </w:p>
    <w:p>
      <w:pPr>
        <w:spacing w:after="100"/>
        <w:jc w:val="both"/>
      </w:pPr>
      <w:r>
        <w:t xml:space="preserve">Subject to (i) narrowing exclusivity, (ii) confirming insurance for the product-liability carve-out, and (iii) tightening the IPR licence-back, we consider the agreement is commercially balanced and recommend proceeding to the next negotiation round on that basis. We will circulate a revised redline (v2) reflecting these points.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2026-06-25T23:18:54.558Z</dcterms:created>
  <dcterms:modified xsi:type="dcterms:W3CDTF">2026-06-25T23:18:54.558Z</dcterms:modified>
</cp:coreProperties>
</file>

<file path=docProps/custom.xml><?xml version="1.0" encoding="utf-8"?>
<Properties xmlns="http://schemas.openxmlformats.org/officeDocument/2006/custom-properties" xmlns:vt="http://schemas.openxmlformats.org/officeDocument/2006/docPropsVTypes"/>
</file>