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HALSTEAD AEROSPACE LIMITED</w:t>
      </w:r>
    </w:p>
    <w:p>
      <w:pPr>
        <w:jc w:val="center"/>
      </w:pPr>
      <w:r>
        <w:rPr>
          <w:b/>
          <w:i w:val="0"/>
        </w:rPr>
        <w:t>Minutes of a meeting of the Board of Directors</w:t>
      </w:r>
    </w:p>
    <w:p>
      <w:pPr>
        <w:jc w:val="center"/>
      </w:pPr>
      <w:r>
        <w:rPr>
          <w:b w:val="0"/>
          <w:i w:val="0"/>
        </w:rPr>
        <w:t>held at Pinewood Technology Park, Filton, Bristol on 12 November 2024 at 10:00</w:t>
      </w:r>
    </w:p>
    <w:p/>
    <w:p>
      <w:r>
        <w:rPr>
          <w:b/>
          <w:i w:val="0"/>
        </w:rPr>
        <w:t>PRESENT:</w:t>
      </w:r>
    </w:p>
    <w:p>
      <w:pPr>
        <w:ind w:left="432"/>
      </w:pPr>
      <w:r>
        <w:rPr>
          <w:b w:val="0"/>
          <w:i w:val="0"/>
        </w:rPr>
        <w:t>• Robert Falconer (Chair, Chief Executive Officer)</w:t>
      </w:r>
    </w:p>
    <w:p>
      <w:pPr>
        <w:ind w:left="432"/>
      </w:pPr>
      <w:r>
        <w:rPr>
          <w:b w:val="0"/>
          <w:i w:val="0"/>
        </w:rPr>
        <w:t>• Grace Underwood (Group Finance Director)</w:t>
      </w:r>
    </w:p>
    <w:p>
      <w:pPr>
        <w:ind w:left="432"/>
      </w:pPr>
      <w:r>
        <w:rPr>
          <w:b w:val="0"/>
          <w:i w:val="0"/>
        </w:rPr>
        <w:t>• Helen Forsythe (Operations Director)</w:t>
      </w:r>
    </w:p>
    <w:p>
      <w:pPr>
        <w:ind w:left="432"/>
      </w:pPr>
      <w:r>
        <w:rPr>
          <w:b w:val="0"/>
          <w:i w:val="0"/>
        </w:rPr>
        <w:t>• Dr Priya Saxena (Director of Quality)</w:t>
      </w:r>
    </w:p>
    <w:p>
      <w:r>
        <w:rPr>
          <w:b w:val="0"/>
          <w:i w:val="0"/>
        </w:rPr>
        <w:t>IN ATTENDANCE: Sarah Whitfield and James Osei of Whitfield Carter LLP (by video).</w:t>
      </w:r>
    </w:p>
    <w:p/>
    <w:p>
      <w:r>
        <w:rPr>
          <w:b/>
          <w:i w:val="0"/>
        </w:rPr>
        <w:t>1.</w:t>
        <w:tab/>
        <w:t>QUORUM AND NOTICE</w:t>
      </w:r>
    </w:p>
    <w:p>
      <w:r>
        <w:rPr>
          <w:b w:val="0"/>
          <w:i w:val="0"/>
        </w:rPr>
        <w:t>The Chair confirmed that a quorum was present and that the meeting had been duly convened. No director declared any interest in the matters to be considered.</w:t>
      </w:r>
    </w:p>
    <w:p>
      <w:r>
        <w:rPr>
          <w:b/>
          <w:i w:val="0"/>
        </w:rPr>
        <w:t>2.</w:t>
        <w:tab/>
        <w:t>PROJECT SKYLARK – LICENCE TO CALDERA MOBILITY</w:t>
      </w:r>
    </w:p>
    <w:p>
      <w:r>
        <w:rPr>
          <w:b w:val="0"/>
          <w:i w:val="0"/>
        </w:rPr>
        <w:t>The Board considered the proposed Patent and Technology Licence Agreement under which the Company would license its “RapidCure” out-of-autoclave composite curing technology to Caldera Mobility Systems plc for use in eVTOL primary airframe structures. The principal commercial terms were noted: an upfront fee of £4,500,000, a running royalty of 4.5% of Net Sales (reducing to 3.0% after £12m cumulative), milestone payments totalling £3,500,000, an annual minimum royalty of £750,000 from Year 3, exclusivity within the eVTOL field of use, and a general liability cap of £6,000,000 with an uncapped IP indemnity.</w:t>
      </w:r>
    </w:p>
    <w:p>
      <w:r>
        <w:rPr>
          <w:b w:val="0"/>
          <w:i w:val="0"/>
        </w:rPr>
        <w:t>Ms Whitfield reported that a freedom-to-operate review by Hartington IP had identified no material third-party patent risk within the field of use, and that the warranty schedule had been negotiated to reflect that position.</w:t>
      </w:r>
    </w:p>
    <w:p>
      <w:r>
        <w:rPr>
          <w:b/>
          <w:i w:val="0"/>
        </w:rPr>
        <w:t>3.</w:t>
        <w:tab/>
        <w:t>RESOLUTIONS</w:t>
      </w:r>
    </w:p>
    <w:p>
      <w:r>
        <w:rPr>
          <w:b w:val="0"/>
          <w:i w:val="0"/>
        </w:rPr>
        <w:t>IT WAS RESOLVED that:</w:t>
      </w:r>
    </w:p>
    <w:p>
      <w:pPr>
        <w:ind w:left="432"/>
      </w:pPr>
      <w:r>
        <w:rPr>
          <w:b w:val="0"/>
          <w:i w:val="0"/>
        </w:rPr>
        <w:t>(a)</w:t>
        <w:tab/>
        <w:t>the Patent and Technology Licence Agreement with Caldera Mobility Systems plc, in the form tabled, be and is hereby approved;</w:t>
      </w:r>
    </w:p>
    <w:p>
      <w:pPr>
        <w:ind w:left="432"/>
      </w:pPr>
      <w:r>
        <w:rPr>
          <w:b w:val="0"/>
          <w:i w:val="0"/>
        </w:rPr>
        <w:t>(b)</w:t>
        <w:tab/>
        <w:t>the grant of an exclusive licence within the eVTOL field of use be approved;</w:t>
      </w:r>
    </w:p>
    <w:p>
      <w:pPr>
        <w:ind w:left="432"/>
      </w:pPr>
      <w:r>
        <w:rPr>
          <w:b w:val="0"/>
          <w:i w:val="0"/>
        </w:rPr>
        <w:t>(c)</w:t>
        <w:tab/>
        <w:t>any one director be and is hereby authorised to execute the Licence Agreement and any ancillary documents on behalf of the Company.</w:t>
      </w:r>
    </w:p>
    <w:p>
      <w:r>
        <w:rPr>
          <w:b/>
          <w:i w:val="0"/>
        </w:rPr>
        <w:t>4.</w:t>
        <w:tab/>
        <w:t>CLOSE</w:t>
      </w:r>
    </w:p>
    <w:p>
      <w:r>
        <w:rPr>
          <w:b w:val="0"/>
          <w:i w:val="0"/>
        </w:rPr>
        <w:t>There being no further business, the Chair declared the meeting closed.</w:t>
      </w:r>
    </w:p>
    <w:p/>
    <w:p>
      <w:r>
        <w:rPr>
          <w:b w:val="0"/>
          <w:i w:val="0"/>
        </w:rPr>
        <w:t>...................................................</w:t>
      </w:r>
    </w:p>
    <w:p>
      <w:r>
        <w:rPr>
          <w:b w:val="0"/>
          <w:i w:val="0"/>
        </w:rPr>
        <w:t>Robert Falconer – Chair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(OC418562). Authorised and regulated by the Solicitors Regulation Authority.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