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Whitfield Carter LLP</w:t>
      </w:r>
    </w:p>
    <w:p>
      <w:pPr>
        <w:pBdr>
          <w:bottom w:val="single" w:sz="6" w:space="1" w:color="1F3864"/>
        </w:pBdr>
      </w:pPr>
      <w:r>
        <w:rPr>
          <w:color w:val="555555"/>
          <w:sz w:val="16"/>
        </w:rPr>
        <w:t>22 Bishopsgate, London EC2N 4BQ   T +44 (0)20 7946 0100   www.whitfieldcarter.com</w:t>
      </w:r>
    </w:p>
    <w:p>
      <w:r>
        <w:t>28 October 2024</w:t>
        <w:br/>
      </w:r>
      <w:r>
        <w:t>Our ref: WC-00187 / Project Skylark</w:t>
      </w:r>
    </w:p>
    <w:p>
      <w:r>
        <w:rPr>
          <w:b/>
          <w:i w:val="0"/>
        </w:rPr>
        <w:t>STRICTLY PRIVATE &amp; CONFIDENTIAL – LEGALLY PRIVILEGED</w:t>
      </w:r>
    </w:p>
    <w:p>
      <w:r>
        <w:rPr>
          <w:b w:val="0"/>
          <w:i w:val="0"/>
        </w:rPr>
        <w:t>Ms Naomi Adeyemi-equivalent / Dr Priya Saxena</w:t>
      </w:r>
    </w:p>
    <w:p>
      <w:r>
        <w:rPr>
          <w:b w:val="0"/>
          <w:i w:val="0"/>
        </w:rPr>
        <w:t>Director of Quality</w:t>
      </w:r>
    </w:p>
    <w:p>
      <w:r>
        <w:rPr>
          <w:b w:val="0"/>
          <w:i w:val="0"/>
        </w:rPr>
        <w:t>Halstead Aerospace Limited</w:t>
      </w:r>
    </w:p>
    <w:p/>
    <w:p>
      <w:r>
        <w:rPr>
          <w:b/>
          <w:i w:val="0"/>
        </w:rPr>
        <w:t>Dear Dr Saxena</w:t>
      </w:r>
    </w:p>
    <w:p>
      <w:pPr>
        <w:jc w:val="center"/>
      </w:pPr>
      <w:r>
        <w:rPr>
          <w:b/>
          <w:sz w:val="30"/>
        </w:rPr>
        <w:t>Project Skylark – Licence to Caldera Mobility: IP and warranty advice</w:t>
      </w:r>
    </w:p>
    <w:p>
      <w:r>
        <w:rPr>
          <w:b w:val="0"/>
          <w:i w:val="0"/>
        </w:rPr>
        <w:t>We write further to our review of the freedom-to-operate (FTO) search carried out by Hartington IP dated 21 October 2024 and the proposed warranty package in the draft Licence Agreement. This note summarises our advice on the principal intellectual property and risk issues, and is provided for the purpose of the Board’s consideration of the transaction.</w:t>
      </w:r>
    </w:p>
    <w:p>
      <w:r>
        <w:rPr>
          <w:b/>
          <w:i w:val="0"/>
        </w:rPr>
        <w:t>1.</w:t>
        <w:tab/>
        <w:t>The Licensed Patents</w:t>
      </w:r>
    </w:p>
    <w:p>
      <w:r>
        <w:rPr>
          <w:b w:val="0"/>
          <w:i w:val="0"/>
        </w:rPr>
        <w:t>The licensed family comprises three granted patents (GB2578941B, EP3712198B1 and US11,247,883B2) and one pending PCT application. The granted patents are in force, with renewal fees paid to date, and expire in 2039. We are satisfied that the Company is the registered proprietor of each granted patent and that there are no recorded security interests over them.</w:t>
      </w:r>
    </w:p>
    <w:p>
      <w:r>
        <w:rPr>
          <w:b/>
          <w:i w:val="0"/>
        </w:rPr>
        <w:t>2.</w:t>
        <w:tab/>
        <w:t>Freedom to operate</w:t>
      </w:r>
    </w:p>
    <w:p>
      <w:r>
        <w:rPr>
          <w:b w:val="0"/>
          <w:i w:val="0"/>
        </w:rPr>
        <w:t>Hartington IP’s search identified two third-party patents of potential relevance: a Mitsuwa Composites patent concerning vacuum-bag consolidation, and a Toulon Aerospace patent concerning heated-tooling control. In our view neither reads onto the RapidCure process as claimed, principally because the RapidCure cure-cycle relies on a distinct two-stage dwell profile that falls outside the claim scope of both patents. We therefore consider the residual FTO risk within the eVTOL field of use to be low.</w:t>
      </w:r>
    </w:p>
    <w:p>
      <w:r>
        <w:rPr>
          <w:b/>
          <w:i w:val="0"/>
        </w:rPr>
        <w:t>3.</w:t>
        <w:tab/>
        <w:t>Warranties and indemnity</w:t>
      </w:r>
    </w:p>
    <w:p>
      <w:r>
        <w:rPr>
          <w:b w:val="0"/>
          <w:i w:val="0"/>
        </w:rPr>
        <w:t>The draft warranty schedule (Schedule 4) is consistent with the FTO position. We have advised that the IP infringement warranty be qualified by the Company’s awareness, which Caldera has accepted. The IP indemnity at clause 8 is uncapped; given the low residual risk we consider this acceptable, but we recommend the Board notes the exposure. The general liability cap of £6,000,000 (clause 10.2) does not apply to the IP indemnity.</w:t>
      </w:r>
    </w:p>
    <w:p>
      <w:r>
        <w:rPr>
          <w:b/>
          <w:i w:val="0"/>
        </w:rPr>
        <w:t>4.</w:t>
        <w:tab/>
        <w:t>Recommendation</w:t>
      </w:r>
    </w:p>
    <w:p>
      <w:r>
        <w:rPr>
          <w:b w:val="0"/>
          <w:i w:val="0"/>
        </w:rPr>
        <w:t>Subject to the points above, we are content that the Company may proceed to grant the licence on the proposed terms. We are happy to attend the Board meeting on 12 November to answer any questions.</w:t>
      </w:r>
    </w:p>
    <w:p/>
    <w:p>
      <w:r>
        <w:rPr>
          <w:b w:val="0"/>
          <w:i w:val="0"/>
        </w:rPr>
        <w:t>Yours sincerely</w:t>
      </w:r>
    </w:p>
    <w:p/>
    <w:p>
      <w:r>
        <w:rPr>
          <w:b w:val="0"/>
          <w:i w:val="0"/>
        </w:rPr>
        <w:t>Sarah Whitfield</w:t>
      </w:r>
    </w:p>
    <w:p>
      <w:r>
        <w:rPr>
          <w:b w:val="0"/>
          <w:i w:val="0"/>
        </w:rPr>
        <w:t>Partner, Whitfield Carter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(OC418562). Authorised and regulated by the Solicitors Regulation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