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Whitfield Carter LLP</w:t>
      </w:r>
    </w:p>
    <w:p>
      <w:pPr>
        <w:pBdr>
          <w:bottom w:val="single" w:sz="6" w:space="1" w:color="1F3864"/>
        </w:pBdr>
      </w:pPr>
      <w:r>
        <w:rPr>
          <w:color w:val="555555"/>
          <w:sz w:val="16"/>
        </w:rPr>
        <w:t>22 Bishopsgate, London EC2N 4BQ   T +44 (0)20 7946 0100   www.whitfieldcarter.com</w:t>
      </w:r>
    </w:p>
    <w:p>
      <w:r>
        <w:t>7 October 2024</w:t>
        <w:br/>
      </w:r>
      <w:r>
        <w:t>Our ref: WC-00187 / Project Skylark</w:t>
      </w:r>
    </w:p>
    <w:p/>
    <w:p>
      <w:pPr>
        <w:jc w:val="center"/>
      </w:pPr>
      <w:r>
        <w:rPr>
          <w:b/>
          <w:sz w:val="30"/>
        </w:rPr>
        <w:t>PROJECT SKYLARK – HEADS OF TERMS</w:t>
      </w:r>
    </w:p>
    <w:p>
      <w:pPr>
        <w:jc w:val="center"/>
      </w:pPr>
      <w:r>
        <w:rPr>
          <w:i/>
          <w:sz w:val="22"/>
        </w:rPr>
        <w:t>Patent and Technology Licence (NON-BINDING)</w:t>
      </w:r>
    </w:p>
    <w:p>
      <w:r>
        <w:rPr>
          <w:b w:val="0"/>
          <w:i w:val="0"/>
        </w:rPr>
        <w:t>These heads of terms record the principal terms on which Halstead Aerospace Limited (“Halstead”) proposes to license its “RapidCure” out-of-autoclave composite curing technology to Caldera Mobility Systems plc (“Caldera”). Save for the paragraphs headed Confidentiality, Exclusivity and Governing Law, these heads of terms are not legally binding and are subject to contract.</w:t>
      </w:r>
    </w:p>
    <w:tbl>
      <w:tblPr>
        <w:tblStyle w:val="TableGrid"/>
        <w:tblW w:type="auto" w:w="0"/>
        <w:tblLook w:firstColumn="1" w:firstRow="1" w:lastColumn="0" w:lastRow="0" w:noHBand="0" w:noVBand="1" w:val="04A0"/>
      </w:tblPr>
      <w:tblGrid>
        <w:gridCol w:w="4680"/>
        <w:gridCol w:w="4680"/>
      </w:tblGrid>
      <w:tr>
        <w:tc>
          <w:tcPr>
            <w:tcW w:type="dxa" w:w="2400"/>
            <w:shd w:val="clear" w:color="auto" w:fill="1F3864"/>
          </w:tcPr>
          <w:p>
            <w:r/>
            <w:r>
              <w:rPr>
                <w:b/>
                <w:color w:val="FFFFFF"/>
                <w:sz w:val="18"/>
              </w:rPr>
              <w:t>Term</w:t>
            </w:r>
          </w:p>
        </w:tc>
        <w:tc>
          <w:tcPr>
            <w:tcW w:type="dxa" w:w="6960"/>
            <w:shd w:val="clear" w:color="auto" w:fill="1F3864"/>
          </w:tcPr>
          <w:p>
            <w:r/>
            <w:r>
              <w:rPr>
                <w:b/>
                <w:color w:val="FFFFFF"/>
                <w:sz w:val="18"/>
              </w:rPr>
              <w:t>Proposal</w:t>
            </w:r>
          </w:p>
        </w:tc>
      </w:tr>
      <w:tr>
        <w:tc>
          <w:tcPr>
            <w:tcW w:type="dxa" w:w="2400"/>
          </w:tcPr>
          <w:p>
            <w:r/>
            <w:r>
              <w:rPr>
                <w:sz w:val="18"/>
              </w:rPr>
              <w:t>Licensor</w:t>
            </w:r>
          </w:p>
        </w:tc>
        <w:tc>
          <w:tcPr>
            <w:tcW w:type="dxa" w:w="6960"/>
          </w:tcPr>
          <w:p>
            <w:r/>
            <w:r>
              <w:rPr>
                <w:sz w:val="18"/>
              </w:rPr>
              <w:t>Halstead Aerospace Limited</w:t>
            </w:r>
          </w:p>
        </w:tc>
      </w:tr>
      <w:tr>
        <w:tc>
          <w:tcPr>
            <w:tcW w:type="dxa" w:w="2400"/>
          </w:tcPr>
          <w:p>
            <w:r/>
            <w:r>
              <w:rPr>
                <w:sz w:val="18"/>
              </w:rPr>
              <w:t>Licensee</w:t>
            </w:r>
          </w:p>
        </w:tc>
        <w:tc>
          <w:tcPr>
            <w:tcW w:type="dxa" w:w="6960"/>
          </w:tcPr>
          <w:p>
            <w:r/>
            <w:r>
              <w:rPr>
                <w:sz w:val="18"/>
              </w:rPr>
              <w:t>Caldera Mobility Systems plc</w:t>
            </w:r>
          </w:p>
        </w:tc>
      </w:tr>
      <w:tr>
        <w:tc>
          <w:tcPr>
            <w:tcW w:type="dxa" w:w="2400"/>
          </w:tcPr>
          <w:p>
            <w:r/>
            <w:r>
              <w:rPr>
                <w:sz w:val="18"/>
              </w:rPr>
              <w:t>Technology</w:t>
            </w:r>
          </w:p>
        </w:tc>
        <w:tc>
          <w:tcPr>
            <w:tcW w:type="dxa" w:w="6960"/>
          </w:tcPr>
          <w:p>
            <w:r/>
            <w:r>
              <w:rPr>
                <w:sz w:val="18"/>
              </w:rPr>
              <w:t>“RapidCure” OOA composite cure process and associated patent family (Schedule 1 to the Licence)</w:t>
            </w:r>
          </w:p>
        </w:tc>
      </w:tr>
      <w:tr>
        <w:tc>
          <w:tcPr>
            <w:tcW w:type="dxa" w:w="2400"/>
          </w:tcPr>
          <w:p>
            <w:r/>
            <w:r>
              <w:rPr>
                <w:sz w:val="18"/>
              </w:rPr>
              <w:t>Field of use</w:t>
            </w:r>
          </w:p>
        </w:tc>
        <w:tc>
          <w:tcPr>
            <w:tcW w:type="dxa" w:w="6960"/>
          </w:tcPr>
          <w:p>
            <w:r/>
            <w:r>
              <w:rPr>
                <w:sz w:val="18"/>
              </w:rPr>
              <w:t>Primary airframe structures for eVTOL aircraft (MTOM ≤ 3,175 kg) – exclusive</w:t>
            </w:r>
          </w:p>
        </w:tc>
      </w:tr>
      <w:tr>
        <w:tc>
          <w:tcPr>
            <w:tcW w:type="dxa" w:w="2400"/>
          </w:tcPr>
          <w:p>
            <w:r/>
            <w:r>
              <w:rPr>
                <w:sz w:val="18"/>
              </w:rPr>
              <w:t>Outside field</w:t>
            </w:r>
          </w:p>
        </w:tc>
        <w:tc>
          <w:tcPr>
            <w:tcW w:type="dxa" w:w="6960"/>
          </w:tcPr>
          <w:p>
            <w:r/>
            <w:r>
              <w:rPr>
                <w:sz w:val="18"/>
              </w:rPr>
              <w:t>Non-exclusive, internal R&amp;D only</w:t>
            </w:r>
          </w:p>
        </w:tc>
      </w:tr>
      <w:tr>
        <w:tc>
          <w:tcPr>
            <w:tcW w:type="dxa" w:w="2400"/>
          </w:tcPr>
          <w:p>
            <w:r/>
            <w:r>
              <w:rPr>
                <w:sz w:val="18"/>
              </w:rPr>
              <w:t>Upfront fee</w:t>
            </w:r>
          </w:p>
        </w:tc>
        <w:tc>
          <w:tcPr>
            <w:tcW w:type="dxa" w:w="6960"/>
          </w:tcPr>
          <w:p>
            <w:r/>
            <w:r>
              <w:rPr>
                <w:sz w:val="18"/>
              </w:rPr>
              <w:t>£4,500,000 payable on signing</w:t>
            </w:r>
          </w:p>
        </w:tc>
      </w:tr>
      <w:tr>
        <w:tc>
          <w:tcPr>
            <w:tcW w:type="dxa" w:w="2400"/>
          </w:tcPr>
          <w:p>
            <w:r/>
            <w:r>
              <w:rPr>
                <w:sz w:val="18"/>
              </w:rPr>
              <w:t>Running royalty</w:t>
            </w:r>
          </w:p>
        </w:tc>
        <w:tc>
          <w:tcPr>
            <w:tcW w:type="dxa" w:w="6960"/>
          </w:tcPr>
          <w:p>
            <w:r/>
            <w:r>
              <w:rPr>
                <w:sz w:val="18"/>
              </w:rPr>
              <w:t>4.5% of Net Sales, stepping down to 3.0% after £12m cumulative royalties</w:t>
            </w:r>
          </w:p>
        </w:tc>
      </w:tr>
      <w:tr>
        <w:tc>
          <w:tcPr>
            <w:tcW w:type="dxa" w:w="2400"/>
          </w:tcPr>
          <w:p>
            <w:r/>
            <w:r>
              <w:rPr>
                <w:sz w:val="18"/>
              </w:rPr>
              <w:t>Milestones</w:t>
            </w:r>
          </w:p>
        </w:tc>
        <w:tc>
          <w:tcPr>
            <w:tcW w:type="dxa" w:w="6960"/>
          </w:tcPr>
          <w:p>
            <w:r/>
            <w:r>
              <w:rPr>
                <w:sz w:val="18"/>
              </w:rPr>
              <w:t>£1.5m on type certification; £2.0m on first commercial delivery</w:t>
            </w:r>
          </w:p>
        </w:tc>
      </w:tr>
      <w:tr>
        <w:tc>
          <w:tcPr>
            <w:tcW w:type="dxa" w:w="2400"/>
          </w:tcPr>
          <w:p>
            <w:r/>
            <w:r>
              <w:rPr>
                <w:sz w:val="18"/>
              </w:rPr>
              <w:t>Minimum royalty</w:t>
            </w:r>
          </w:p>
        </w:tc>
        <w:tc>
          <w:tcPr>
            <w:tcW w:type="dxa" w:w="6960"/>
          </w:tcPr>
          <w:p>
            <w:r/>
            <w:r>
              <w:rPr>
                <w:sz w:val="18"/>
              </w:rPr>
              <w:t>£750,000 p.a. from Year 3</w:t>
            </w:r>
          </w:p>
        </w:tc>
      </w:tr>
      <w:tr>
        <w:tc>
          <w:tcPr>
            <w:tcW w:type="dxa" w:w="2400"/>
          </w:tcPr>
          <w:p>
            <w:r/>
            <w:r>
              <w:rPr>
                <w:sz w:val="18"/>
              </w:rPr>
              <w:t>Term</w:t>
            </w:r>
          </w:p>
        </w:tc>
        <w:tc>
          <w:tcPr>
            <w:tcW w:type="dxa" w:w="6960"/>
          </w:tcPr>
          <w:p>
            <w:r/>
            <w:r>
              <w:rPr>
                <w:sz w:val="18"/>
              </w:rPr>
              <w:t>12 years / life of last patent</w:t>
            </w:r>
          </w:p>
        </w:tc>
      </w:tr>
      <w:tr>
        <w:tc>
          <w:tcPr>
            <w:tcW w:type="dxa" w:w="2400"/>
          </w:tcPr>
          <w:p>
            <w:r/>
            <w:r>
              <w:rPr>
                <w:sz w:val="18"/>
              </w:rPr>
              <w:t>Liability cap</w:t>
            </w:r>
          </w:p>
        </w:tc>
        <w:tc>
          <w:tcPr>
            <w:tcW w:type="dxa" w:w="6960"/>
          </w:tcPr>
          <w:p>
            <w:r/>
            <w:r>
              <w:rPr>
                <w:sz w:val="18"/>
              </w:rPr>
              <w:t>Fees + trailing 12 months’ royalties, capped at £6m; IP indemnity uncapped</w:t>
            </w:r>
          </w:p>
        </w:tc>
      </w:tr>
      <w:tr>
        <w:tc>
          <w:tcPr>
            <w:tcW w:type="dxa" w:w="2400"/>
          </w:tcPr>
          <w:p>
            <w:r/>
            <w:r>
              <w:rPr>
                <w:sz w:val="18"/>
              </w:rPr>
              <w:t>Governing law</w:t>
            </w:r>
          </w:p>
        </w:tc>
        <w:tc>
          <w:tcPr>
            <w:tcW w:type="dxa" w:w="6960"/>
          </w:tcPr>
          <w:p>
            <w:r/>
            <w:r>
              <w:rPr>
                <w:sz w:val="18"/>
              </w:rPr>
              <w:t>England and Wales</w:t>
            </w:r>
          </w:p>
        </w:tc>
      </w:tr>
      <w:tr>
        <w:tc>
          <w:tcPr>
            <w:tcW w:type="dxa" w:w="2400"/>
          </w:tcPr>
          <w:p>
            <w:r/>
            <w:r>
              <w:rPr>
                <w:sz w:val="18"/>
              </w:rPr>
              <w:t>Exclusivity period</w:t>
            </w:r>
          </w:p>
        </w:tc>
        <w:tc>
          <w:tcPr>
            <w:tcW w:type="dxa" w:w="6960"/>
          </w:tcPr>
          <w:p>
            <w:r/>
            <w:r>
              <w:rPr>
                <w:sz w:val="18"/>
              </w:rPr>
              <w:t>Caldera to negotiate exclusively until 30 November 2024</w:t>
            </w:r>
          </w:p>
        </w:tc>
      </w:tr>
      <w:tr>
        <w:tc>
          <w:tcPr>
            <w:tcW w:type="dxa" w:w="2400"/>
          </w:tcPr>
          <w:p>
            <w:r/>
            <w:r>
              <w:rPr>
                <w:sz w:val="18"/>
              </w:rPr>
              <w:t>Target signing</w:t>
            </w:r>
          </w:p>
        </w:tc>
        <w:tc>
          <w:tcPr>
            <w:tcW w:type="dxa" w:w="6960"/>
          </w:tcPr>
          <w:p>
            <w:r/>
            <w:r>
              <w:rPr>
                <w:sz w:val="18"/>
              </w:rPr>
              <w:t>Mid-November 2024</w:t>
            </w:r>
          </w:p>
        </w:tc>
      </w:tr>
    </w:tbl>
    <w:p/>
    <w:p>
      <w:r>
        <w:rPr>
          <w:b w:val="0"/>
          <w:i w:val="0"/>
        </w:rPr>
        <w:t>Agreed in principle for discussion purposes only.</w:t>
      </w:r>
    </w:p>
    <w:p>
      <w:r>
        <w:rPr>
          <w:b w:val="0"/>
          <w:i w:val="0"/>
        </w:rPr>
        <w:t>Halstead: R. Falconer        Caldera: A. Hartley-Quinn        Date: 7 October 2024</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4"/>
      </w:rPr>
      <w:t>Whitfield Carter LLP is a limited liability partnership registered in England and Wales (OC418562). Authorised and regulated by the Solicitors Regulation Authority.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