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DATED 14 NOVEMBER 2024</w:t>
      </w:r>
    </w:p>
    <w:p/>
    <w:p>
      <w:pPr>
        <w:jc w:val="center"/>
      </w:pPr>
      <w:r>
        <w:rPr>
          <w:b/>
          <w:i w:val="0"/>
        </w:rPr>
        <w:t>(1) HALSTEAD AEROSPACE LIMITED</w:t>
      </w:r>
    </w:p>
    <w:p>
      <w:pPr>
        <w:jc w:val="center"/>
      </w:pPr>
      <w:r>
        <w:rPr>
          <w:b w:val="0"/>
          <w:i w:val="0"/>
        </w:rPr>
        <w:t>and</w:t>
      </w:r>
    </w:p>
    <w:p>
      <w:pPr>
        <w:jc w:val="center"/>
      </w:pPr>
      <w:r>
        <w:rPr>
          <w:b/>
          <w:i w:val="0"/>
        </w:rPr>
        <w:t>(2) CALDERA MOBILITY SYSTEMS PLC</w:t>
      </w:r>
    </w:p>
    <w:p/>
    <w:p/>
    <w:p>
      <w:pPr>
        <w:jc w:val="center"/>
      </w:pPr>
      <w:r>
        <w:rPr>
          <w:b/>
          <w:sz w:val="30"/>
        </w:rPr>
        <w:t>PATENT AND TECHNOLOGY LICENCE AGREEMENT</w:t>
      </w:r>
    </w:p>
    <w:p>
      <w:pPr>
        <w:jc w:val="center"/>
      </w:pPr>
      <w:r>
        <w:rPr>
          <w:i/>
          <w:sz w:val="22"/>
        </w:rPr>
        <w:t>relating to the "RapidCure" out-of-autoclave composite cure technology</w:t>
      </w:r>
    </w:p>
    <w:p/>
    <w:p/>
    <w:p>
      <w:pPr>
        <w:jc w:val="center"/>
      </w:pPr>
      <w:r>
        <w:rPr>
          <w:b/>
          <w:i w:val="0"/>
        </w:rPr>
        <w:t>Whitfield Carter LLP</w:t>
      </w:r>
    </w:p>
    <w:p>
      <w:pPr>
        <w:jc w:val="center"/>
      </w:pPr>
      <w:r>
        <w:rPr>
          <w:b w:val="0"/>
          <w:i w:val="0"/>
          <w:sz w:val="18"/>
        </w:rPr>
        <w:t>22 Bishopsgate, London EC2N 4BQ</w:t>
      </w:r>
    </w:p>
    <w:p>
      <w:pPr>
        <w:jc w:val="center"/>
      </w:pPr>
      <w:r>
        <w:rPr>
          <w:b w:val="0"/>
          <w:i w:val="0"/>
          <w:sz w:val="18"/>
        </w:rPr>
        <w:t>Ref: WC-00187 / Project Skylark</w:t>
      </w:r>
    </w:p>
    <w:p>
      <w:r>
        <w:br w:type="page"/>
      </w:r>
    </w:p>
    <w:p>
      <w:r>
        <w:rPr>
          <w:b/>
          <w:sz w:val="26"/>
        </w:rPr>
        <w:t>THIS AGREEMENT is made on 14 November 2024</w:t>
      </w:r>
    </w:p>
    <w:p>
      <w:r>
        <w:rPr>
          <w:b/>
          <w:i w:val="0"/>
        </w:rPr>
        <w:t>BETWEEN:</w:t>
      </w:r>
    </w:p>
    <w:p>
      <w:r>
        <w:rPr>
          <w:b w:val="0"/>
          <w:i w:val="0"/>
        </w:rPr>
        <w:t>(1)</w:t>
        <w:tab/>
        <w:t>HALSTEAD AEROSPACE LIMITED, a company incorporated in England and Wales (registered number 03928174) whose registered office is at Pinewood Technology Park, Filton, Bristol BS34 7QW (the “Licensor”); and</w:t>
      </w:r>
    </w:p>
    <w:p>
      <w:r>
        <w:rPr>
          <w:b w:val="0"/>
          <w:i w:val="0"/>
        </w:rPr>
        <w:t>(2)</w:t>
        <w:tab/>
        <w:t>CALDERA MOBILITY SYSTEMS PLC, a company incorporated in England and Wales (registered number 11420693) whose registered office is at Skyworks House, Cranfield Aerospace Park, Cranfield MK43 0FQ (the “Licensee”),</w:t>
      </w:r>
    </w:p>
    <w:p>
      <w:r>
        <w:rPr>
          <w:b w:val="0"/>
          <w:i w:val="0"/>
        </w:rPr>
        <w:t>each a “Party” and together the “Parties”.</w:t>
      </w:r>
    </w:p>
    <w:p/>
    <w:p>
      <w:r>
        <w:rPr>
          <w:b/>
          <w:i w:val="0"/>
        </w:rPr>
        <w:t>RECITALS</w:t>
      </w:r>
    </w:p>
    <w:p>
      <w:r>
        <w:rPr>
          <w:b w:val="0"/>
          <w:i w:val="0"/>
        </w:rPr>
        <w:t>(A)</w:t>
        <w:tab/>
        <w:t>The Licensor has developed and owns certain patents and proprietary know-how relating to a rapid out-of-autoclave (OOA) curing process for carbon-fibre reinforced polymer (CFRP) primary aerostructures, marketed by the Licensor under the name “RapidCure” (the “Licensed Technology”).</w:t>
      </w:r>
    </w:p>
    <w:p>
      <w:r>
        <w:rPr>
          <w:b w:val="0"/>
          <w:i w:val="0"/>
        </w:rPr>
        <w:t>(B)</w:t>
        <w:tab/>
        <w:t>The Licensee designs and manufactures electric vertical take-off and landing (eVTOL) aircraft and wishes to obtain a licence to use the Licensed Technology in the manufacture of primary airframe structures for such aircraft.</w:t>
      </w:r>
    </w:p>
    <w:p>
      <w:r>
        <w:rPr>
          <w:b w:val="0"/>
          <w:i w:val="0"/>
        </w:rPr>
        <w:t>(C)</w:t>
        <w:tab/>
        <w:t>The Parties entered into a mutual non-disclosure agreement dated 3 September 2024 and non-binding heads of terms dated 7 October 2024, and now wish to record the full terms on which the Licensor grants, and the Licensee takes, such licence.</w:t>
      </w:r>
    </w:p>
    <w:p>
      <w:r>
        <w:rPr>
          <w:b/>
          <w:i w:val="0"/>
        </w:rPr>
        <w:t>IT IS AGREED as follows:</w:t>
      </w:r>
    </w:p>
    <w:p/>
    <w:p>
      <w:r>
        <w:rPr>
          <w:b/>
          <w:sz w:val="26"/>
        </w:rPr>
        <w:t>1.</w:t>
        <w:tab/>
        <w:t>DEFINITIONS AND INTERPRETATION</w:t>
      </w:r>
    </w:p>
    <w:p>
      <w:pPr>
        <w:ind w:left="720"/>
      </w:pPr>
      <w:r>
        <w:rPr>
          <w:b w:val="0"/>
        </w:rPr>
        <w:t xml:space="preserve">“Affiliate” means </w:t>
      </w:r>
      <w:r>
        <w:t>in relation to a Party, any entity that directly or indirectly Controls, is Controlled by, or is under common Control with that Party.</w:t>
      </w:r>
    </w:p>
    <w:p>
      <w:pPr>
        <w:ind w:left="720"/>
      </w:pPr>
      <w:r>
        <w:rPr>
          <w:b w:val="0"/>
        </w:rPr>
        <w:t xml:space="preserve">“Background IP” means </w:t>
      </w:r>
      <w:r>
        <w:t>Intellectual Property Rights owned or controlled by a Party prior to the Effective Date or developed independently of this Agreement.</w:t>
      </w:r>
    </w:p>
    <w:p>
      <w:pPr>
        <w:ind w:left="720"/>
      </w:pPr>
      <w:r>
        <w:rPr>
          <w:b w:val="0"/>
        </w:rPr>
        <w:t xml:space="preserve">“Commencement Date” means </w:t>
      </w:r>
      <w:r>
        <w:t>the Effective Date.</w:t>
      </w:r>
    </w:p>
    <w:p>
      <w:pPr>
        <w:ind w:left="720"/>
      </w:pPr>
      <w:r>
        <w:rPr>
          <w:b w:val="0"/>
        </w:rPr>
        <w:t xml:space="preserve">“Confidential Information” means </w:t>
      </w:r>
      <w:r>
        <w:t>all information of a confidential nature disclosed by one Party to the other, including the Licensed Know-How and the terms of this Agreement.</w:t>
      </w:r>
    </w:p>
    <w:p>
      <w:pPr>
        <w:ind w:left="720"/>
      </w:pPr>
      <w:r>
        <w:rPr>
          <w:b w:val="0"/>
        </w:rPr>
        <w:t xml:space="preserve">“Control” means </w:t>
      </w:r>
      <w:r>
        <w:t>the ownership of more than 50% of the voting share capital of an entity or the ability to direct its affairs.</w:t>
      </w:r>
    </w:p>
    <w:p>
      <w:pPr>
        <w:ind w:left="720"/>
      </w:pPr>
      <w:r>
        <w:rPr>
          <w:b w:val="0"/>
        </w:rPr>
        <w:t xml:space="preserve">“Effective Date” means </w:t>
      </w:r>
      <w:r>
        <w:t>14 November 2024.</w:t>
      </w:r>
    </w:p>
    <w:p>
      <w:pPr>
        <w:ind w:left="720"/>
      </w:pPr>
      <w:r>
        <w:rPr>
          <w:b w:val="0"/>
        </w:rPr>
        <w:t xml:space="preserve">“Field of Use” means </w:t>
      </w:r>
      <w:r>
        <w:t>the design, development, manufacture, assembly and repair of primary airframe structures for eVTOL aircraft with a maximum certificated take-off mass not exceeding 3,175 kg.</w:t>
      </w:r>
    </w:p>
    <w:p>
      <w:pPr>
        <w:ind w:left="720"/>
      </w:pPr>
      <w:r>
        <w:rPr>
          <w:b w:val="0"/>
        </w:rPr>
        <w:t xml:space="preserve">“Improvement” means </w:t>
      </w:r>
      <w:r>
        <w:t>any modification, enhancement, adaptation or development of the Licensed Technology made by either Party during the Term.</w:t>
      </w:r>
    </w:p>
    <w:p>
      <w:pPr>
        <w:ind w:left="720"/>
      </w:pPr>
      <w:r>
        <w:rPr>
          <w:b w:val="0"/>
        </w:rPr>
        <w:t xml:space="preserve">“Intellectual Property Rights” or “IPR” means </w:t>
      </w:r>
      <w:r>
        <w:t>patents, utility models, rights in inventions, know-how, trade secrets, copyright and related rights, database rights, design rights and all other intellectual property rights, whether registered or unregistered.</w:t>
      </w:r>
    </w:p>
    <w:p>
      <w:pPr>
        <w:ind w:left="720"/>
      </w:pPr>
      <w:r>
        <w:rPr>
          <w:b w:val="0"/>
        </w:rPr>
        <w:t xml:space="preserve">“Licensed Know-How” means </w:t>
      </w:r>
      <w:r>
        <w:t>the technical information, process parameters, tooling specifications, cure-cycle data and manufacturing instructions relating to the Licensed Technology set out in Schedule 2.</w:t>
      </w:r>
    </w:p>
    <w:p>
      <w:pPr>
        <w:ind w:left="720"/>
      </w:pPr>
      <w:r>
        <w:rPr>
          <w:b w:val="0"/>
        </w:rPr>
        <w:t xml:space="preserve">“Licensed Patents” means </w:t>
      </w:r>
      <w:r>
        <w:t>the patents and patent applications listed in Schedule 1, together with any divisionals, continuations, reissues, extensions and foreign equivalents thereof.</w:t>
      </w:r>
    </w:p>
    <w:p>
      <w:pPr>
        <w:ind w:left="720"/>
      </w:pPr>
      <w:r>
        <w:rPr>
          <w:b w:val="0"/>
        </w:rPr>
        <w:t xml:space="preserve">“Licensed Products” means </w:t>
      </w:r>
      <w:r>
        <w:t>any product manufactured by or for the Licensee within the Field of Use that incorporates or is made using the Licensed Technology.</w:t>
      </w:r>
    </w:p>
    <w:p>
      <w:pPr>
        <w:ind w:left="720"/>
      </w:pPr>
      <w:r>
        <w:rPr>
          <w:b w:val="0"/>
        </w:rPr>
        <w:t xml:space="preserve">“Net Sales” means </w:t>
      </w:r>
      <w:r>
        <w:t>the gross amounts invoiced by the Licensee and its Affiliates for Licensed Products, less (i) trade discounts actually allowed, (ii) credits for returns, (iii) sales, excise and value added taxes, and (iv) carriage, insurance and packing charges separately stated on the invoice.</w:t>
      </w:r>
    </w:p>
    <w:p>
      <w:pPr>
        <w:ind w:left="720"/>
      </w:pPr>
      <w:r>
        <w:rPr>
          <w:b w:val="0"/>
        </w:rPr>
        <w:t xml:space="preserve">“Quarter” means </w:t>
      </w:r>
      <w:r>
        <w:t>each period of three months ending on 31 March, 30 June, 30 September and 31 December.</w:t>
      </w:r>
    </w:p>
    <w:p>
      <w:pPr>
        <w:ind w:left="720"/>
      </w:pPr>
      <w:r>
        <w:rPr>
          <w:b w:val="0"/>
        </w:rPr>
        <w:t xml:space="preserve">“Territory” means </w:t>
      </w:r>
      <w:r>
        <w:t>worldwide.</w:t>
      </w:r>
    </w:p>
    <w:p>
      <w:r>
        <w:rPr>
          <w:b w:val="0"/>
          <w:i w:val="0"/>
        </w:rPr>
        <w:t>1.2</w:t>
        <w:tab/>
        <w:t>Clause, Schedule and paragraph headings shall not affect interpretation. A reference to a statute or statutory provision is a reference to it as amended or re-enacted. Words in the singular include the plural and vice versa.</w:t>
      </w:r>
    </w:p>
    <w:p>
      <w:r>
        <w:rPr>
          <w:b w:val="0"/>
          <w:i w:val="0"/>
        </w:rPr>
        <w:t>1.3</w:t>
        <w:tab/>
        <w:t>The Schedules form part of this Agreement and shall have effect as if set out in full in the body of this Agreement.</w:t>
      </w:r>
    </w:p>
    <w:p/>
    <w:p>
      <w:r>
        <w:rPr>
          <w:b/>
          <w:sz w:val="26"/>
        </w:rPr>
        <w:t>2.</w:t>
        <w:tab/>
        <w:t>GRANT OF LICENCE</w:t>
      </w:r>
    </w:p>
    <w:p>
      <w:r>
        <w:rPr>
          <w:b w:val="0"/>
          <w:i w:val="0"/>
        </w:rPr>
        <w:t>2.1</w:t>
        <w:tab/>
        <w:t>In consideration of the payments to be made under clause 4, the Licensor grants to the Licensee, with effect from the Effective Date and for the Term:</w:t>
      </w:r>
    </w:p>
    <w:p>
      <w:pPr>
        <w:ind w:left="720"/>
      </w:pPr>
      <w:r>
        <w:rPr>
          <w:b w:val="0"/>
          <w:i w:val="0"/>
        </w:rPr>
        <w:t>(a)</w:t>
        <w:tab/>
        <w:t>an exclusive, non-transferable licence (even as to the Licensor) under the Licensed Patents and Licensed Know-How to make, have made and use Licensed Products within the Field of Use in the Territory; and</w:t>
      </w:r>
    </w:p>
    <w:p>
      <w:pPr>
        <w:ind w:left="720"/>
      </w:pPr>
      <w:r>
        <w:rPr>
          <w:b w:val="0"/>
          <w:i w:val="0"/>
        </w:rPr>
        <w:t>(b)</w:t>
        <w:tab/>
        <w:t>a non-exclusive, non-transferable licence under the Licensed Patents and Licensed Know-How to use the Licensed Technology outside the Field of Use solely for the Licensee’s internal research and development.</w:t>
      </w:r>
    </w:p>
    <w:p>
      <w:r>
        <w:rPr>
          <w:b w:val="0"/>
          <w:i w:val="0"/>
        </w:rPr>
        <w:t>2.2</w:t>
        <w:tab/>
        <w:t>The exclusivity granted under clause 2.1(a) is conditional on the Licensee meeting the Annual Minimum Royalty under clause 4.4. If the Licensee fails to meet the Annual Minimum Royalty in any year from Year 3, the Licensor may, on 60 days’ written notice, convert the exclusive licence to a non-exclusive licence.</w:t>
      </w:r>
    </w:p>
    <w:p>
      <w:r>
        <w:rPr>
          <w:b w:val="0"/>
          <w:i w:val="0"/>
        </w:rPr>
        <w:t>2.3</w:t>
        <w:tab/>
        <w:t>The Licensee may grant sub-licences within the Field of Use only to its Affiliates and to bona fide sub-contractors engaged in manufacturing Licensed Products on the Licensee’s behalf, in each case subject to the prior written consent of the Licensor (not to be unreasonably withheld) and to the sub-licensee entering into confidentiality obligations no less onerous than those in clause 9.</w:t>
      </w:r>
    </w:p>
    <w:p>
      <w:r>
        <w:rPr>
          <w:b w:val="0"/>
          <w:i w:val="0"/>
        </w:rPr>
        <w:t>2.4</w:t>
        <w:tab/>
        <w:t>No licence is granted other than as expressly set out in this Agreement, and the Licensor reserves all other rights.</w:t>
      </w:r>
    </w:p>
    <w:p/>
    <w:p>
      <w:r>
        <w:rPr>
          <w:b/>
          <w:sz w:val="26"/>
        </w:rPr>
        <w:t>3.</w:t>
        <w:tab/>
        <w:t>TECHNOLOGY TRANSFER AND TECHNICAL ASSISTANCE</w:t>
      </w:r>
    </w:p>
    <w:p>
      <w:r>
        <w:rPr>
          <w:b w:val="0"/>
          <w:i w:val="0"/>
        </w:rPr>
        <w:t>3.1</w:t>
        <w:tab/>
        <w:t>Within 30 days of the Effective Date the Licensor shall deliver to the Licensee the Licensed Know-How described in Schedule 2 in documentary and electronic form.</w:t>
      </w:r>
    </w:p>
    <w:p>
      <w:r>
        <w:rPr>
          <w:b w:val="0"/>
          <w:i w:val="0"/>
        </w:rPr>
        <w:t>3.2</w:t>
        <w:tab/>
        <w:t>The Licensor shall provide up to 40 person-days of technical assistance during the first 12 months at no additional charge, and thereafter at the Licensor’s standard day rate of £1,250 per person-day, to support the Licensee’s implementation of the Licensed Technology.</w:t>
      </w:r>
    </w:p>
    <w:p>
      <w:r>
        <w:rPr>
          <w:b w:val="0"/>
          <w:i w:val="0"/>
        </w:rPr>
        <w:t>3.3</w:t>
        <w:tab/>
        <w:t>The Licensee shall be solely responsible for obtaining all regulatory and airworthiness approvals (including type certification) in respect of Licensed Products.</w:t>
      </w:r>
    </w:p>
    <w:p/>
    <w:p>
      <w:r>
        <w:rPr>
          <w:b/>
          <w:sz w:val="26"/>
        </w:rPr>
        <w:t>4.</w:t>
        <w:tab/>
        <w:t>FINANCIAL PROVISIONS</w:t>
      </w:r>
    </w:p>
    <w:p>
      <w:r>
        <w:rPr>
          <w:b w:val="0"/>
          <w:i w:val="0"/>
        </w:rPr>
        <w:t>4.1</w:t>
        <w:tab/>
        <w:t>Upfront Fee. In consideration of the grant under clause 2, the Licensee shall pay to the Licensor a non-refundable upfront licence fee of £4,500,000 (four million five hundred thousand pounds), payable within 10 Business Days of the Effective Date.</w:t>
      </w:r>
    </w:p>
    <w:p>
      <w:r>
        <w:rPr>
          <w:b w:val="0"/>
          <w:i w:val="0"/>
        </w:rPr>
        <w:t>4.2</w:t>
        <w:tab/>
        <w:t>Running Royalty. The Licensee shall pay a running royalty of 4.5% of Net Sales of Licensed Products, reducing to 3.0% of Net Sales with effect from the first day of the Quarter following that in which the cumulative running royalties paid under this Agreement first exceed £12,000,000.</w:t>
      </w:r>
    </w:p>
    <w:p>
      <w:r>
        <w:rPr>
          <w:b w:val="0"/>
          <w:i w:val="0"/>
        </w:rPr>
        <w:t>4.3</w:t>
        <w:tab/>
        <w:t>Milestone Payments. The Licensee shall pay the following one-off milestone payments within 30 days of the relevant event: (a) £1,500,000 on grant of type certification for the first Licensed Product by the UK Civil Aviation Authority or EASA; and (b) £2,000,000 on first commercial delivery of a Licensed Product to a customer.</w:t>
      </w:r>
    </w:p>
    <w:p>
      <w:r>
        <w:rPr>
          <w:b w:val="0"/>
          <w:i w:val="0"/>
        </w:rPr>
        <w:t>4.4</w:t>
        <w:tab/>
        <w:t>Annual Minimum Royalty. From the third anniversary of the Effective Date, the Licensee shall pay a minimum royalty of £750,000 per year, against which running royalties actually paid in that year shall be credited.</w:t>
      </w:r>
    </w:p>
    <w:p>
      <w:r>
        <w:rPr>
          <w:b w:val="0"/>
          <w:i w:val="0"/>
        </w:rPr>
        <w:t>4.5</w:t>
        <w:tab/>
        <w:t>Payment and Reports. Running royalties shall be paid within 45 days of the end of each Quarter, accompanied by a statement showing Net Sales and the royalty calculation. All sums are exclusive of VAT and shall be paid in pounds sterling to the Licensor’s nominated account.</w:t>
      </w:r>
    </w:p>
    <w:p>
      <w:r>
        <w:rPr>
          <w:b w:val="0"/>
          <w:i w:val="0"/>
        </w:rPr>
        <w:t>4.6</w:t>
        <w:tab/>
        <w:t>Interest. Late payments shall bear interest at 4% per annum above the base rate of Barclays Bank plc from time to time, accruing daily.</w:t>
      </w:r>
    </w:p>
    <w:p>
      <w:r>
        <w:rPr>
          <w:b w:val="0"/>
          <w:i w:val="0"/>
        </w:rPr>
        <w:t>4.7</w:t>
        <w:tab/>
        <w:t>Audit. The Licensor may, on reasonable notice and not more than once in any 12-month period, appoint an independent accountant to audit the Licensee’s royalty records. If an audit reveals an underpayment exceeding 5%, the Licensee shall bear the reasonable cost of the audit.</w:t>
      </w:r>
    </w:p>
    <w:p/>
    <w:p>
      <w:r>
        <w:rPr>
          <w:b/>
          <w:sz w:val="26"/>
        </w:rPr>
        <w:t>5.</w:t>
        <w:tab/>
        <w:t>INTELLECTUAL PROPERTY AND IMPROVEMENTS</w:t>
      </w:r>
    </w:p>
    <w:p>
      <w:r>
        <w:rPr>
          <w:b w:val="0"/>
          <w:i w:val="0"/>
        </w:rPr>
        <w:t>5.1</w:t>
        <w:tab/>
        <w:t>All IPR in the Licensed Technology shall remain vested in the Licensor. Nothing in this Agreement transfers ownership of any Background IP.</w:t>
      </w:r>
    </w:p>
    <w:p>
      <w:r>
        <w:rPr>
          <w:b w:val="0"/>
          <w:i w:val="0"/>
        </w:rPr>
        <w:t>5.2</w:t>
        <w:tab/>
        <w:t>Improvements made solely by the Licensor shall be owned by the Licensor and included within the Licensed Patents or Licensed Know-How (as applicable) at no additional charge.</w:t>
      </w:r>
    </w:p>
    <w:p>
      <w:r>
        <w:rPr>
          <w:b w:val="0"/>
          <w:i w:val="0"/>
        </w:rPr>
        <w:t>5.3</w:t>
        <w:tab/>
        <w:t>Improvements made solely by the Licensee shall be owned by the Licensee, which hereby grants to the Licensor a perpetual, royalty-free, non-exclusive licence to use such Improvements outside the Field of Use.</w:t>
      </w:r>
    </w:p>
    <w:p>
      <w:r>
        <w:rPr>
          <w:b w:val="0"/>
          <w:i w:val="0"/>
        </w:rPr>
        <w:t>5.4</w:t>
        <w:tab/>
        <w:t>The Licensee shall promptly notify the Licensor of any Improvement and of any suspected infringement of the Licensed Patents of which it becomes aware.</w:t>
      </w:r>
    </w:p>
    <w:p/>
    <w:p>
      <w:r>
        <w:rPr>
          <w:b/>
          <w:sz w:val="26"/>
        </w:rPr>
        <w:t>6.</w:t>
        <w:tab/>
        <w:t>PATENT MAINTENANCE AND ENFORCEMENT</w:t>
      </w:r>
    </w:p>
    <w:p>
      <w:r>
        <w:rPr>
          <w:b w:val="0"/>
          <w:i w:val="0"/>
        </w:rPr>
        <w:t>6.1</w:t>
        <w:tab/>
        <w:t>The Licensor shall at its own cost prosecute and maintain the Licensed Patents in the jurisdictions listed in Schedule 1 and shall not abandon any Licensed Patent without first offering the Licensee the opportunity to assume its prosecution and maintenance.</w:t>
      </w:r>
    </w:p>
    <w:p>
      <w:r>
        <w:rPr>
          <w:b w:val="0"/>
          <w:i w:val="0"/>
        </w:rPr>
        <w:t>6.2</w:t>
        <w:tab/>
        <w:t>The Licensor shall have the first right (but not the obligation) to take action against any infringement of the Licensed Patents within the Field of Use. If the Licensor does not take action within 90 days of being notified, the Licensee may do so in its own name and at its own cost, and shall retain any recovery after reimbursement of the Licensor’s costs.</w:t>
      </w:r>
    </w:p>
    <w:p/>
    <w:p>
      <w:r>
        <w:rPr>
          <w:b/>
          <w:sz w:val="26"/>
        </w:rPr>
        <w:t>7.</w:t>
        <w:tab/>
        <w:t>WARRANTIES</w:t>
      </w:r>
    </w:p>
    <w:p>
      <w:r>
        <w:rPr>
          <w:b w:val="0"/>
          <w:i w:val="0"/>
        </w:rPr>
        <w:t>7.1</w:t>
        <w:tab/>
        <w:t>The Licensor warrants that the warranties set out in Schedule 4 (the “Warranties”) are true and accurate as at the Effective Date.</w:t>
      </w:r>
    </w:p>
    <w:p>
      <w:r>
        <w:rPr>
          <w:b w:val="0"/>
          <w:i w:val="0"/>
        </w:rPr>
        <w:t>7.2</w:t>
        <w:tab/>
        <w:t>Each Party warrants that it has full power and authority to enter into and perform this Agreement.</w:t>
      </w:r>
    </w:p>
    <w:p>
      <w:r>
        <w:rPr>
          <w:b w:val="0"/>
          <w:i w:val="0"/>
        </w:rPr>
        <w:t>7.3</w:t>
        <w:tab/>
        <w:t>Except as expressly set out in this Agreement, all warranties, conditions and terms implied by statute or common law are excluded to the fullest extent permitted by law. In particular, the Licensor does not warrant that the use of the Licensed Technology will not infringe the rights of any third party, save as set out in clause 8.</w:t>
      </w:r>
    </w:p>
    <w:p/>
    <w:p>
      <w:r>
        <w:rPr>
          <w:b/>
          <w:sz w:val="26"/>
        </w:rPr>
        <w:t>8.</w:t>
        <w:tab/>
        <w:t>IP INDEMNITY</w:t>
      </w:r>
    </w:p>
    <w:p>
      <w:r>
        <w:rPr>
          <w:b w:val="0"/>
          <w:i w:val="0"/>
        </w:rPr>
        <w:t>8.1</w:t>
        <w:tab/>
        <w:t>The Licensor shall indemnify the Licensee against all losses, damages, costs and expenses arising from any claim that the Licensee’s use of the Licensed Patents or Licensed Know-How strictly in accordance with this Agreement infringes the Intellectual Property Rights of a third party (an “IP Claim”).</w:t>
      </w:r>
    </w:p>
    <w:p>
      <w:r>
        <w:rPr>
          <w:b w:val="0"/>
          <w:i w:val="0"/>
        </w:rPr>
        <w:t>8.2</w:t>
        <w:tab/>
        <w:t>The indemnity in clause 8.1 is subject to the Licensee (a) promptly notifying the Licensor of the IP Claim, (b) not making any admission of liability, and (c) giving the Licensor sole conduct of the defence and settlement of the IP Claim.</w:t>
      </w:r>
    </w:p>
    <w:p>
      <w:r>
        <w:rPr>
          <w:b w:val="0"/>
          <w:i w:val="0"/>
        </w:rPr>
        <w:t>8.3</w:t>
        <w:tab/>
        <w:t>The Licensor’s liability under the indemnity in clause 8.1 shall not be subject to the limitations of liability in clause 10.</w:t>
      </w:r>
    </w:p>
    <w:p/>
    <w:p>
      <w:r>
        <w:rPr>
          <w:b/>
          <w:sz w:val="26"/>
        </w:rPr>
        <w:t>9.</w:t>
        <w:tab/>
        <w:t>CONFIDENTIALITY</w:t>
      </w:r>
    </w:p>
    <w:p>
      <w:r>
        <w:rPr>
          <w:b w:val="0"/>
          <w:i w:val="0"/>
        </w:rPr>
        <w:t>9.1</w:t>
        <w:tab/>
        <w:t>Each Party shall keep confidential all Confidential Information of the other Party and shall not use it except for the purpose of exercising its rights or performing its obligations under this Agreement.</w:t>
      </w:r>
    </w:p>
    <w:p>
      <w:r>
        <w:rPr>
          <w:b w:val="0"/>
          <w:i w:val="0"/>
        </w:rPr>
        <w:t>9.2</w:t>
        <w:tab/>
        <w:t>The obligations in clause 9.1 shall not apply to information that is or becomes public through no fault of the receiving Party, was lawfully in the receiving Party’s possession before disclosure, or is required to be disclosed by law or any regulatory authority.</w:t>
      </w:r>
    </w:p>
    <w:p>
      <w:r>
        <w:rPr>
          <w:b w:val="0"/>
          <w:i w:val="0"/>
        </w:rPr>
        <w:t>9.3</w:t>
        <w:tab/>
        <w:t>The confidentiality obligations in this clause 9 shall survive termination of this Agreement for a period of seven years.</w:t>
      </w:r>
    </w:p>
    <w:p/>
    <w:p>
      <w:r>
        <w:rPr>
          <w:b/>
          <w:sz w:val="26"/>
        </w:rPr>
        <w:t>10.</w:t>
        <w:tab/>
        <w:t>LIMITATION OF LIABILITY</w:t>
      </w:r>
    </w:p>
    <w:p>
      <w:r>
        <w:rPr>
          <w:b w:val="0"/>
          <w:i w:val="0"/>
        </w:rPr>
        <w:t>10.1</w:t>
        <w:tab/>
        <w:t>Nothing in this Agreement limits or excludes either Party’s liability for death or personal injury caused by negligence, fraud, or any other liability that cannot be excluded by law.</w:t>
      </w:r>
    </w:p>
    <w:p>
      <w:r>
        <w:rPr>
          <w:b w:val="0"/>
          <w:i w:val="0"/>
        </w:rPr>
        <w:t>10.2</w:t>
        <w:tab/>
        <w:t>Subject to clause 10.1 and clause 8.3, the total aggregate liability of each Party arising out of or in connection with this Agreement (whether in contract, tort or otherwise) in respect of any 12-month period shall not exceed the total of the upfront fee and the running royalties paid or payable in the preceding 12 months, and shall in no event exceed £6,000,000 in aggregate.</w:t>
      </w:r>
    </w:p>
    <w:p>
      <w:r>
        <w:rPr>
          <w:b w:val="0"/>
          <w:i w:val="0"/>
        </w:rPr>
        <w:t>10.3</w:t>
        <w:tab/>
        <w:t>Neither Party shall be liable for any indirect or consequential loss, loss of profit, loss of revenue or loss of anticipated savings.</w:t>
      </w:r>
    </w:p>
    <w:p/>
    <w:p>
      <w:r>
        <w:rPr>
          <w:b/>
          <w:sz w:val="26"/>
        </w:rPr>
        <w:t>11.</w:t>
        <w:tab/>
        <w:t>TERM AND TERMINATION</w:t>
      </w:r>
    </w:p>
    <w:p>
      <w:r>
        <w:rPr>
          <w:b w:val="0"/>
          <w:i w:val="0"/>
        </w:rPr>
        <w:t>11.1</w:t>
        <w:tab/>
        <w:t>This Agreement takes effect on the Effective Date and, unless terminated earlier, continues for 12 years or until expiry of the last to expire of the Licensed Patents, whichever is the later (the “Term”).</w:t>
      </w:r>
    </w:p>
    <w:p>
      <w:r>
        <w:rPr>
          <w:b w:val="0"/>
          <w:i w:val="0"/>
        </w:rPr>
        <w:t>11.2</w:t>
        <w:tab/>
        <w:t>Either Party may terminate this Agreement immediately by written notice if the other Party commits a material breach which (if capable of remedy) it fails to remedy within 30 days, or becomes insolvent.</w:t>
      </w:r>
    </w:p>
    <w:p>
      <w:r>
        <w:rPr>
          <w:b w:val="0"/>
          <w:i w:val="0"/>
        </w:rPr>
        <w:t>11.3</w:t>
        <w:tab/>
        <w:t>On termination, the licences granted under clause 2 shall cease, save that the Licensee may, for a period of 6 months, sell off Licensed Products in stock subject to payment of running royalties.</w:t>
      </w:r>
    </w:p>
    <w:p/>
    <w:p>
      <w:r>
        <w:rPr>
          <w:b/>
          <w:sz w:val="26"/>
        </w:rPr>
        <w:t>12.</w:t>
        <w:tab/>
        <w:t>GENERAL</w:t>
      </w:r>
    </w:p>
    <w:p>
      <w:r>
        <w:rPr>
          <w:b w:val="0"/>
          <w:i w:val="0"/>
        </w:rPr>
        <w:t>12.1</w:t>
        <w:tab/>
        <w:t>Entire Agreement. This Agreement, together with the documents referred to in it, constitutes the entire agreement between the Parties and supersedes all prior agreements, including the heads of terms dated 7 October 2024 (which were in any event non-binding).</w:t>
      </w:r>
    </w:p>
    <w:p>
      <w:r>
        <w:rPr>
          <w:b w:val="0"/>
          <w:i w:val="0"/>
        </w:rPr>
        <w:t>12.2</w:t>
        <w:tab/>
        <w:t>Assignment. Neither Party may assign or otherwise deal with any of its rights under this Agreement without the prior written consent of the other, save that the Licensor may assign to an Affiliate or to a purchaser of the Licensed Technology.</w:t>
      </w:r>
    </w:p>
    <w:p>
      <w:r>
        <w:rPr>
          <w:b w:val="0"/>
          <w:i w:val="0"/>
        </w:rPr>
        <w:t>12.3</w:t>
        <w:tab/>
        <w:t>Variation. No variation of this Agreement is effective unless in writing and signed by or on behalf of each Party.</w:t>
      </w:r>
    </w:p>
    <w:p>
      <w:r>
        <w:rPr>
          <w:b w:val="0"/>
          <w:i w:val="0"/>
        </w:rPr>
        <w:t>12.4</w:t>
        <w:tab/>
        <w:t>Notices. Notices shall be in writing and delivered by hand, pre-paid first-class post or email to the addresses set out at the head of this Agreement.</w:t>
      </w:r>
    </w:p>
    <w:p>
      <w:r>
        <w:rPr>
          <w:b w:val="0"/>
          <w:i w:val="0"/>
        </w:rPr>
        <w:t>12.5</w:t>
        <w:tab/>
        <w:t>Third Party Rights. A person who is not a Party has no rights under the Contracts (Rights of Third Parties) Act 1999 to enforce any term of this Agreement.</w:t>
      </w:r>
    </w:p>
    <w:p>
      <w:r>
        <w:rPr>
          <w:b w:val="0"/>
          <w:i w:val="0"/>
        </w:rPr>
        <w:t>12.6</w:t>
        <w:tab/>
        <w:t>Counterparts. This Agreement may be executed in any number of counterparts, each of which when executed constitutes an original, and all of which together constitute one agreement.</w:t>
      </w:r>
    </w:p>
    <w:p>
      <w:r>
        <w:rPr>
          <w:b w:val="0"/>
          <w:i w:val="0"/>
        </w:rPr>
        <w:t>12.7</w:t>
        <w:tab/>
        <w:t>Governing Law and Jurisdiction. This Agreement and any dispute arising out of it are governed by the law of England and Wales, and the Parties submit to the exclusive jurisdiction of the courts of England and Wales.</w:t>
      </w:r>
    </w:p>
    <w:p/>
    <w:p>
      <w:r>
        <w:rPr>
          <w:b w:val="0"/>
          <w:i w:val="0"/>
        </w:rPr>
        <w:t>IN WITNESS WHEREOF this Agreement has been entered into on the date stated at the beginning of it.</w:t>
      </w:r>
    </w:p>
    <w:p/>
    <w:p>
      <w:r>
        <w:rPr>
          <w:b w:val="0"/>
          <w:i w:val="0"/>
        </w:rPr>
        <w:t>SIGNED for and on behalf of HALSTEAD AEROSPACE LIMITED</w:t>
      </w:r>
    </w:p>
    <w:p>
      <w:r>
        <w:rPr>
          <w:b w:val="0"/>
          <w:i w:val="0"/>
        </w:rPr>
      </w:r>
    </w:p>
    <w:p>
      <w:r>
        <w:rPr>
          <w:b w:val="0"/>
          <w:i w:val="0"/>
        </w:rPr>
        <w:t>Signature: ......................................................</w:t>
      </w:r>
    </w:p>
    <w:p>
      <w:r>
        <w:rPr>
          <w:b w:val="0"/>
          <w:i w:val="0"/>
        </w:rPr>
        <w:t>Name: Robert Falconer</w:t>
      </w:r>
    </w:p>
    <w:p>
      <w:r>
        <w:rPr>
          <w:b w:val="0"/>
          <w:i w:val="0"/>
        </w:rPr>
        <w:t>Title: Chief Executive Officer</w:t>
      </w:r>
    </w:p>
    <w:p>
      <w:r>
        <w:rPr>
          <w:b w:val="0"/>
          <w:i w:val="0"/>
        </w:rPr>
      </w:r>
    </w:p>
    <w:p>
      <w:r>
        <w:rPr>
          <w:b w:val="0"/>
          <w:i w:val="0"/>
        </w:rPr>
        <w:t>SIGNED for and on behalf of CALDERA MOBILITY SYSTEMS PLC</w:t>
      </w:r>
    </w:p>
    <w:p>
      <w:r>
        <w:rPr>
          <w:b w:val="0"/>
          <w:i w:val="0"/>
        </w:rPr>
      </w:r>
    </w:p>
    <w:p>
      <w:r>
        <w:rPr>
          <w:b w:val="0"/>
          <w:i w:val="0"/>
        </w:rPr>
        <w:t>Signature: ......................................................</w:t>
      </w:r>
    </w:p>
    <w:p>
      <w:r>
        <w:rPr>
          <w:b w:val="0"/>
          <w:i w:val="0"/>
        </w:rPr>
        <w:t>Name: Amelia Hartley-Quinn</w:t>
      </w:r>
    </w:p>
    <w:p>
      <w:r>
        <w:rPr>
          <w:b w:val="0"/>
          <w:i w:val="0"/>
        </w:rPr>
        <w:t>Title: Chief Operating Officer</w:t>
      </w:r>
    </w:p>
    <w:p>
      <w:r>
        <w:br w:type="page"/>
      </w:r>
    </w:p>
    <w:p>
      <w:r>
        <w:rPr>
          <w:b/>
          <w:sz w:val="26"/>
        </w:rPr>
        <w:t>SCHEDULE 1 – LICENSED PATENTS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00"/>
            <w:shd w:val="clear" w:color="auto" w:fill="1F3864"/>
          </w:tcPr>
          <w:p>
            <w:r/>
            <w:r>
              <w:rPr>
                <w:b/>
                <w:color w:val="FFFFFF"/>
                <w:sz w:val="18"/>
              </w:rPr>
              <w:t>Patent/Application No.</w:t>
            </w:r>
          </w:p>
        </w:tc>
        <w:tc>
          <w:tcPr>
            <w:tcW w:type="dxa" w:w="1900"/>
            <w:shd w:val="clear" w:color="auto" w:fill="1F3864"/>
          </w:tcPr>
          <w:p>
            <w:r/>
            <w:r>
              <w:rPr>
                <w:b/>
                <w:color w:val="FFFFFF"/>
                <w:sz w:val="18"/>
              </w:rPr>
              <w:t>Jurisdiction</w:t>
            </w:r>
          </w:p>
        </w:tc>
        <w:tc>
          <w:tcPr>
            <w:tcW w:type="dxa" w:w="3060"/>
            <w:shd w:val="clear" w:color="auto" w:fill="1F3864"/>
          </w:tcPr>
          <w:p>
            <w:r/>
            <w:r>
              <w:rPr>
                <w:b/>
                <w:color w:val="FFFFFF"/>
                <w:sz w:val="18"/>
              </w:rPr>
              <w:t>Title</w:t>
            </w:r>
          </w:p>
        </w:tc>
        <w:tc>
          <w:tcPr>
            <w:tcW w:type="dxa" w:w="1300"/>
            <w:shd w:val="clear" w:color="auto" w:fill="1F3864"/>
          </w:tcPr>
          <w:p>
            <w:r/>
            <w:r>
              <w:rPr>
                <w:b/>
                <w:color w:val="FFFFFF"/>
                <w:sz w:val="18"/>
              </w:rPr>
              <w:t>Status</w:t>
            </w:r>
          </w:p>
        </w:tc>
        <w:tc>
          <w:tcPr>
            <w:tcW w:type="dxa" w:w="1400"/>
            <w:shd w:val="clear" w:color="auto" w:fill="1F3864"/>
          </w:tcPr>
          <w:p>
            <w:r/>
            <w:r>
              <w:rPr>
                <w:b/>
                <w:color w:val="FFFFFF"/>
                <w:sz w:val="18"/>
              </w:rPr>
              <w:t>Expiry</w:t>
            </w:r>
          </w:p>
        </w:tc>
      </w:tr>
      <w:tr>
        <w:tc>
          <w:tcPr>
            <w:tcW w:type="dxa" w:w="1700"/>
          </w:tcPr>
          <w:p>
            <w:r/>
            <w:r>
              <w:rPr>
                <w:sz w:val="18"/>
              </w:rPr>
              <w:t>GB2578941B</w:t>
            </w:r>
          </w:p>
        </w:tc>
        <w:tc>
          <w:tcPr>
            <w:tcW w:type="dxa" w:w="1900"/>
          </w:tcPr>
          <w:p>
            <w:r/>
            <w:r>
              <w:rPr>
                <w:sz w:val="18"/>
              </w:rPr>
              <w:t>United Kingdom</w:t>
            </w:r>
          </w:p>
        </w:tc>
        <w:tc>
          <w:tcPr>
            <w:tcW w:type="dxa" w:w="3060"/>
          </w:tcPr>
          <w:p>
            <w:r/>
            <w:r>
              <w:rPr>
                <w:sz w:val="18"/>
              </w:rPr>
              <w:t>Out-of-autoclave cure process for CFRP aerostructures</w:t>
            </w:r>
          </w:p>
        </w:tc>
        <w:tc>
          <w:tcPr>
            <w:tcW w:type="dxa" w:w="1300"/>
          </w:tcPr>
          <w:p>
            <w:r/>
            <w:r>
              <w:rPr>
                <w:sz w:val="18"/>
              </w:rPr>
              <w:t>Granted</w:t>
            </w:r>
          </w:p>
        </w:tc>
        <w:tc>
          <w:tcPr>
            <w:tcW w:type="dxa" w:w="1400"/>
          </w:tcPr>
          <w:p>
            <w:r/>
            <w:r>
              <w:rPr>
                <w:sz w:val="18"/>
              </w:rPr>
              <w:t>12 Mar 2039</w:t>
            </w:r>
          </w:p>
        </w:tc>
      </w:tr>
      <w:tr>
        <w:tc>
          <w:tcPr>
            <w:tcW w:type="dxa" w:w="1700"/>
          </w:tcPr>
          <w:p>
            <w:r/>
            <w:r>
              <w:rPr>
                <w:sz w:val="18"/>
              </w:rPr>
              <w:t>EP3712198B1</w:t>
            </w:r>
          </w:p>
        </w:tc>
        <w:tc>
          <w:tcPr>
            <w:tcW w:type="dxa" w:w="1900"/>
          </w:tcPr>
          <w:p>
            <w:r/>
            <w:r>
              <w:rPr>
                <w:sz w:val="18"/>
              </w:rPr>
              <w:t>European Patent (UK, FR, DE, IT)</w:t>
            </w:r>
          </w:p>
        </w:tc>
        <w:tc>
          <w:tcPr>
            <w:tcW w:type="dxa" w:w="3060"/>
          </w:tcPr>
          <w:p>
            <w:r/>
            <w:r>
              <w:rPr>
                <w:sz w:val="18"/>
              </w:rPr>
              <w:t>Method and apparatus for rapid OOA composite curing</w:t>
            </w:r>
          </w:p>
        </w:tc>
        <w:tc>
          <w:tcPr>
            <w:tcW w:type="dxa" w:w="1300"/>
          </w:tcPr>
          <w:p>
            <w:r/>
            <w:r>
              <w:rPr>
                <w:sz w:val="18"/>
              </w:rPr>
              <w:t>Granted</w:t>
            </w:r>
          </w:p>
        </w:tc>
        <w:tc>
          <w:tcPr>
            <w:tcW w:type="dxa" w:w="1400"/>
          </w:tcPr>
          <w:p>
            <w:r/>
            <w:r>
              <w:rPr>
                <w:sz w:val="18"/>
              </w:rPr>
              <w:t>12 Mar 2039</w:t>
            </w:r>
          </w:p>
        </w:tc>
      </w:tr>
      <w:tr>
        <w:tc>
          <w:tcPr>
            <w:tcW w:type="dxa" w:w="1700"/>
          </w:tcPr>
          <w:p>
            <w:r/>
            <w:r>
              <w:rPr>
                <w:sz w:val="18"/>
              </w:rPr>
              <w:t>US11,247,883B2</w:t>
            </w:r>
          </w:p>
        </w:tc>
        <w:tc>
          <w:tcPr>
            <w:tcW w:type="dxa" w:w="1900"/>
          </w:tcPr>
          <w:p>
            <w:r/>
            <w:r>
              <w:rPr>
                <w:sz w:val="18"/>
              </w:rPr>
              <w:t>United States</w:t>
            </w:r>
          </w:p>
        </w:tc>
        <w:tc>
          <w:tcPr>
            <w:tcW w:type="dxa" w:w="3060"/>
          </w:tcPr>
          <w:p>
            <w:r/>
            <w:r>
              <w:rPr>
                <w:sz w:val="18"/>
              </w:rPr>
              <w:t>Rapid out-of-autoclave curing system</w:t>
            </w:r>
          </w:p>
        </w:tc>
        <w:tc>
          <w:tcPr>
            <w:tcW w:type="dxa" w:w="1300"/>
          </w:tcPr>
          <w:p>
            <w:r/>
            <w:r>
              <w:rPr>
                <w:sz w:val="18"/>
              </w:rPr>
              <w:t>Granted</w:t>
            </w:r>
          </w:p>
        </w:tc>
        <w:tc>
          <w:tcPr>
            <w:tcW w:type="dxa" w:w="1400"/>
          </w:tcPr>
          <w:p>
            <w:r/>
            <w:r>
              <w:rPr>
                <w:sz w:val="18"/>
              </w:rPr>
              <w:t>04 Aug 2039</w:t>
            </w:r>
          </w:p>
        </w:tc>
      </w:tr>
      <w:tr>
        <w:tc>
          <w:tcPr>
            <w:tcW w:type="dxa" w:w="1700"/>
          </w:tcPr>
          <w:p>
            <w:r/>
            <w:r>
              <w:rPr>
                <w:sz w:val="18"/>
              </w:rPr>
              <w:t>PCT/GB2023/051877</w:t>
            </w:r>
          </w:p>
        </w:tc>
        <w:tc>
          <w:tcPr>
            <w:tcW w:type="dxa" w:w="1900"/>
          </w:tcPr>
          <w:p>
            <w:r/>
            <w:r>
              <w:rPr>
                <w:sz w:val="18"/>
              </w:rPr>
              <w:t>PCT (pending national phase)</w:t>
            </w:r>
          </w:p>
        </w:tc>
        <w:tc>
          <w:tcPr>
            <w:tcW w:type="dxa" w:w="3060"/>
          </w:tcPr>
          <w:p>
            <w:r/>
            <w:r>
              <w:rPr>
                <w:sz w:val="18"/>
              </w:rPr>
              <w:t>Heated-tooling control for OOA cure</w:t>
            </w:r>
          </w:p>
        </w:tc>
        <w:tc>
          <w:tcPr>
            <w:tcW w:type="dxa" w:w="1300"/>
          </w:tcPr>
          <w:p>
            <w:r/>
            <w:r>
              <w:rPr>
                <w:sz w:val="18"/>
              </w:rPr>
              <w:t>Pending</w:t>
            </w:r>
          </w:p>
        </w:tc>
        <w:tc>
          <w:tcPr>
            <w:tcW w:type="dxa" w:w="1400"/>
          </w:tcPr>
          <w:p>
            <w:r/>
            <w:r>
              <w:rPr>
                <w:sz w:val="18"/>
              </w:rPr>
              <w:t>–</w:t>
            </w:r>
          </w:p>
        </w:tc>
      </w:tr>
    </w:tbl>
    <w:p>
      <w:r>
        <w:br w:type="page"/>
      </w:r>
    </w:p>
    <w:p>
      <w:r>
        <w:rPr>
          <w:b/>
          <w:sz w:val="26"/>
        </w:rPr>
        <w:t>SCHEDULE 2 – LICENSED KNOW-HOW</w:t>
      </w:r>
    </w:p>
    <w:p>
      <w:pPr>
        <w:ind w:left="432"/>
      </w:pPr>
      <w:r>
        <w:rPr>
          <w:b w:val="0"/>
          <w:i w:val="0"/>
        </w:rPr>
        <w:t>• RapidCure cure-cycle parameter set (ramp rates, dwell temperatures, vacuum schedules) for 300-series and 400-series toughened epoxy prepregs.</w:t>
      </w:r>
    </w:p>
    <w:p>
      <w:pPr>
        <w:ind w:left="432"/>
      </w:pPr>
      <w:r>
        <w:rPr>
          <w:b w:val="0"/>
          <w:i w:val="0"/>
        </w:rPr>
        <w:t>• Heated-tooling design specifications and thermal-survey procedures.</w:t>
      </w:r>
    </w:p>
    <w:p>
      <w:pPr>
        <w:ind w:left="432"/>
      </w:pPr>
      <w:r>
        <w:rPr>
          <w:b w:val="0"/>
          <w:i w:val="0"/>
        </w:rPr>
        <w:t>• In-process quality assurance and non-destructive testing protocols.</w:t>
      </w:r>
    </w:p>
    <w:p>
      <w:pPr>
        <w:ind w:left="432"/>
      </w:pPr>
      <w:r>
        <w:rPr>
          <w:b w:val="0"/>
          <w:i w:val="0"/>
        </w:rPr>
        <w:t>• Manufacturing work instructions WI-RC-001 to WI-RC-024.</w:t>
      </w:r>
    </w:p>
    <w:p>
      <w:pPr>
        <w:ind w:left="432"/>
      </w:pPr>
      <w:r>
        <w:rPr>
          <w:b w:val="0"/>
          <w:i w:val="0"/>
        </w:rPr>
        <w:t>• Validation data package demonstrating equivalence to autoclave-cured laminates.</w:t>
      </w:r>
    </w:p>
    <w:p>
      <w:r>
        <w:br w:type="page"/>
      </w:r>
    </w:p>
    <w:p>
      <w:r>
        <w:rPr>
          <w:b/>
          <w:sz w:val="26"/>
        </w:rPr>
        <w:t>SCHEDULE 3 – FINANCIAL SUMMARY</w:t>
      </w:r>
    </w:p>
    <w:tbl>
      <w:tblPr>
        <w:tblStyle w:val="TableGrid"/>
        <w:tblW w:type="auto" w:w="0"/>
        <w:tblLook w:firstColumn="1" w:firstRow="1" w:lastColumn="0" w:lastRow="0" w:noHBand="0" w:noVBand="1" w:val="04A0"/>
      </w:tblPr>
      <w:tblGrid>
        <w:gridCol w:w="3120"/>
        <w:gridCol w:w="3120"/>
        <w:gridCol w:w="3120"/>
      </w:tblGrid>
      <w:tr>
        <w:tc>
          <w:tcPr>
            <w:tcW w:type="dxa" w:w="2900"/>
            <w:shd w:val="clear" w:color="auto" w:fill="1F3864"/>
          </w:tcPr>
          <w:p>
            <w:r/>
            <w:r>
              <w:rPr>
                <w:b/>
                <w:color w:val="FFFFFF"/>
                <w:sz w:val="18"/>
              </w:rPr>
              <w:t>Item</w:t>
            </w:r>
          </w:p>
        </w:tc>
        <w:tc>
          <w:tcPr>
            <w:tcW w:type="dxa" w:w="2300"/>
            <w:shd w:val="clear" w:color="auto" w:fill="1F3864"/>
          </w:tcPr>
          <w:p>
            <w:r/>
            <w:r>
              <w:rPr>
                <w:b/>
                <w:color w:val="FFFFFF"/>
                <w:sz w:val="18"/>
              </w:rPr>
              <w:t>Amount / Rate</w:t>
            </w:r>
          </w:p>
        </w:tc>
        <w:tc>
          <w:tcPr>
            <w:tcW w:type="dxa" w:w="4160"/>
            <w:shd w:val="clear" w:color="auto" w:fill="1F3864"/>
          </w:tcPr>
          <w:p>
            <w:r/>
            <w:r>
              <w:rPr>
                <w:b/>
                <w:color w:val="FFFFFF"/>
                <w:sz w:val="18"/>
              </w:rPr>
              <w:t>Trigger / Timing</w:t>
            </w:r>
          </w:p>
        </w:tc>
      </w:tr>
      <w:tr>
        <w:tc>
          <w:tcPr>
            <w:tcW w:type="dxa" w:w="2900"/>
          </w:tcPr>
          <w:p>
            <w:r/>
            <w:r>
              <w:rPr>
                <w:sz w:val="18"/>
              </w:rPr>
              <w:t>Upfront licence fee</w:t>
            </w:r>
          </w:p>
        </w:tc>
        <w:tc>
          <w:tcPr>
            <w:tcW w:type="dxa" w:w="2300"/>
          </w:tcPr>
          <w:p>
            <w:r/>
            <w:r>
              <w:rPr>
                <w:sz w:val="18"/>
              </w:rPr>
              <w:t>£4,500,000</w:t>
            </w:r>
          </w:p>
        </w:tc>
        <w:tc>
          <w:tcPr>
            <w:tcW w:type="dxa" w:w="4160"/>
          </w:tcPr>
          <w:p>
            <w:r/>
            <w:r>
              <w:rPr>
                <w:sz w:val="18"/>
              </w:rPr>
              <w:t>Within 10 Business Days of Effective Date</w:t>
            </w:r>
          </w:p>
        </w:tc>
      </w:tr>
      <w:tr>
        <w:tc>
          <w:tcPr>
            <w:tcW w:type="dxa" w:w="2900"/>
          </w:tcPr>
          <w:p>
            <w:r/>
            <w:r>
              <w:rPr>
                <w:sz w:val="18"/>
              </w:rPr>
              <w:t>Running royalty</w:t>
            </w:r>
          </w:p>
        </w:tc>
        <w:tc>
          <w:tcPr>
            <w:tcW w:type="dxa" w:w="2300"/>
          </w:tcPr>
          <w:p>
            <w:r/>
            <w:r>
              <w:rPr>
                <w:sz w:val="18"/>
              </w:rPr>
              <w:t>4.5% of Net Sales</w:t>
            </w:r>
          </w:p>
        </w:tc>
        <w:tc>
          <w:tcPr>
            <w:tcW w:type="dxa" w:w="4160"/>
          </w:tcPr>
          <w:p>
            <w:r/>
            <w:r>
              <w:rPr>
                <w:sz w:val="18"/>
              </w:rPr>
              <w:t>Quarterly; reduces to 3.0% after £12m cumulative</w:t>
            </w:r>
          </w:p>
        </w:tc>
      </w:tr>
      <w:tr>
        <w:tc>
          <w:tcPr>
            <w:tcW w:type="dxa" w:w="2900"/>
          </w:tcPr>
          <w:p>
            <w:r/>
            <w:r>
              <w:rPr>
                <w:sz w:val="18"/>
              </w:rPr>
              <w:t>Type certification milestone</w:t>
            </w:r>
          </w:p>
        </w:tc>
        <w:tc>
          <w:tcPr>
            <w:tcW w:type="dxa" w:w="2300"/>
          </w:tcPr>
          <w:p>
            <w:r/>
            <w:r>
              <w:rPr>
                <w:sz w:val="18"/>
              </w:rPr>
              <w:t>£1,500,000</w:t>
            </w:r>
          </w:p>
        </w:tc>
        <w:tc>
          <w:tcPr>
            <w:tcW w:type="dxa" w:w="4160"/>
          </w:tcPr>
          <w:p>
            <w:r/>
            <w:r>
              <w:rPr>
                <w:sz w:val="18"/>
              </w:rPr>
              <w:t>On CAA/EASA type certification</w:t>
            </w:r>
          </w:p>
        </w:tc>
      </w:tr>
      <w:tr>
        <w:tc>
          <w:tcPr>
            <w:tcW w:type="dxa" w:w="2900"/>
          </w:tcPr>
          <w:p>
            <w:r/>
            <w:r>
              <w:rPr>
                <w:sz w:val="18"/>
              </w:rPr>
              <w:t>First commercial delivery milestone</w:t>
            </w:r>
          </w:p>
        </w:tc>
        <w:tc>
          <w:tcPr>
            <w:tcW w:type="dxa" w:w="2300"/>
          </w:tcPr>
          <w:p>
            <w:r/>
            <w:r>
              <w:rPr>
                <w:sz w:val="18"/>
              </w:rPr>
              <w:t>£2,000,000</w:t>
            </w:r>
          </w:p>
        </w:tc>
        <w:tc>
          <w:tcPr>
            <w:tcW w:type="dxa" w:w="4160"/>
          </w:tcPr>
          <w:p>
            <w:r/>
            <w:r>
              <w:rPr>
                <w:sz w:val="18"/>
              </w:rPr>
              <w:t>On first commercial delivery</w:t>
            </w:r>
          </w:p>
        </w:tc>
      </w:tr>
      <w:tr>
        <w:tc>
          <w:tcPr>
            <w:tcW w:type="dxa" w:w="2900"/>
          </w:tcPr>
          <w:p>
            <w:r/>
            <w:r>
              <w:rPr>
                <w:sz w:val="18"/>
              </w:rPr>
              <w:t>Annual minimum royalty</w:t>
            </w:r>
          </w:p>
        </w:tc>
        <w:tc>
          <w:tcPr>
            <w:tcW w:type="dxa" w:w="2300"/>
          </w:tcPr>
          <w:p>
            <w:r/>
            <w:r>
              <w:rPr>
                <w:sz w:val="18"/>
              </w:rPr>
              <w:t>£750,000 / year</w:t>
            </w:r>
          </w:p>
        </w:tc>
        <w:tc>
          <w:tcPr>
            <w:tcW w:type="dxa" w:w="4160"/>
          </w:tcPr>
          <w:p>
            <w:r/>
            <w:r>
              <w:rPr>
                <w:sz w:val="18"/>
              </w:rPr>
              <w:t>From Year 3 (creditable against running royalty)</w:t>
            </w:r>
          </w:p>
        </w:tc>
      </w:tr>
      <w:tr>
        <w:tc>
          <w:tcPr>
            <w:tcW w:type="dxa" w:w="2900"/>
          </w:tcPr>
          <w:p>
            <w:r/>
            <w:r>
              <w:rPr>
                <w:sz w:val="18"/>
              </w:rPr>
              <w:t>Liability cap (general)</w:t>
            </w:r>
          </w:p>
        </w:tc>
        <w:tc>
          <w:tcPr>
            <w:tcW w:type="dxa" w:w="2300"/>
          </w:tcPr>
          <w:p>
            <w:r/>
            <w:r>
              <w:rPr>
                <w:sz w:val="18"/>
              </w:rPr>
              <w:t>£6,000,000</w:t>
            </w:r>
          </w:p>
        </w:tc>
        <w:tc>
          <w:tcPr>
            <w:tcW w:type="dxa" w:w="4160"/>
          </w:tcPr>
          <w:p>
            <w:r/>
            <w:r>
              <w:rPr>
                <w:sz w:val="18"/>
              </w:rPr>
              <w:t>See clause 10.2</w:t>
            </w:r>
          </w:p>
        </w:tc>
      </w:tr>
    </w:tbl>
    <w:p>
      <w:r>
        <w:br w:type="page"/>
      </w:r>
    </w:p>
    <w:p>
      <w:r>
        <w:rPr>
          <w:b/>
          <w:sz w:val="26"/>
        </w:rPr>
        <w:t>SCHEDULE 4 – WARRANTIES</w:t>
      </w:r>
    </w:p>
    <w:p>
      <w:pPr>
        <w:ind w:left="432"/>
      </w:pPr>
      <w:r>
        <w:rPr>
          <w:b w:val="0"/>
          <w:i w:val="0"/>
        </w:rPr>
        <w:t>1.</w:t>
        <w:tab/>
        <w:t>The Licensor is the sole legal and beneficial owner of the Licensed Patents and has the right to grant the licences set out in this Agreement.</w:t>
      </w:r>
    </w:p>
    <w:p>
      <w:pPr>
        <w:ind w:left="432"/>
      </w:pPr>
      <w:r>
        <w:rPr>
          <w:b w:val="0"/>
          <w:i w:val="0"/>
        </w:rPr>
        <w:t>2.</w:t>
        <w:tab/>
        <w:t>The Licensed Patents listed as “Granted” in Schedule 1 are subsisting and, so far as the Licensor is aware, valid.</w:t>
      </w:r>
    </w:p>
    <w:p>
      <w:pPr>
        <w:ind w:left="432"/>
      </w:pPr>
      <w:r>
        <w:rPr>
          <w:b w:val="0"/>
          <w:i w:val="0"/>
        </w:rPr>
        <w:t>3.</w:t>
        <w:tab/>
        <w:t>All renewal and maintenance fees due in respect of the Licensed Patents have been paid.</w:t>
      </w:r>
    </w:p>
    <w:p>
      <w:pPr>
        <w:ind w:left="432"/>
      </w:pPr>
      <w:r>
        <w:rPr>
          <w:b w:val="0"/>
          <w:i w:val="0"/>
        </w:rPr>
        <w:t>4.</w:t>
        <w:tab/>
        <w:t>The Licensed Patents are not subject to any mortgage, charge, lien or other encumbrance.</w:t>
      </w:r>
    </w:p>
    <w:p>
      <w:pPr>
        <w:ind w:left="432"/>
      </w:pPr>
      <w:r>
        <w:rPr>
          <w:b w:val="0"/>
          <w:i w:val="0"/>
        </w:rPr>
        <w:t>5.</w:t>
        <w:tab/>
        <w:t>So far as the Licensor is aware, the use of the Licensed Technology within the Field of Use does not infringe the Intellectual Property Rights of any third party.</w:t>
      </w:r>
    </w:p>
    <w:p>
      <w:pPr>
        <w:ind w:left="432"/>
      </w:pPr>
      <w:r>
        <w:rPr>
          <w:b w:val="0"/>
          <w:i w:val="0"/>
        </w:rPr>
        <w:t>6.</w:t>
        <w:tab/>
        <w:t>There are no claims, actions or proceedings pending or threatened against the Licensor in respect of the Licensed Patents or Licensed Know-How.</w:t>
      </w:r>
    </w:p>
    <w:p>
      <w:pPr>
        <w:ind w:left="432"/>
      </w:pPr>
      <w:r>
        <w:rPr>
          <w:b w:val="0"/>
          <w:i w:val="0"/>
        </w:rPr>
        <w:t>7.</w:t>
        <w:tab/>
        <w:t>The Licensed Know-How has not been disclosed to any third party except under obligations of confidentiality.</w:t>
      </w:r>
    </w:p>
    <w:p>
      <w:pPr>
        <w:ind w:left="432"/>
      </w:pPr>
      <w:r>
        <w:rPr>
          <w:b w:val="0"/>
          <w:i w:val="0"/>
        </w:rPr>
        <w:t>8.</w:t>
        <w:tab/>
        <w:t>The Licensor has not granted any licence or other right in respect of the Licensed Patents within the Field of Use to any third party.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and Wales (OC418562). Authorised and regulated by the Solicitors Regulation Authority.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