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MUTUAL NON-DISCLOSURE AGREEMENT</w:t>
      </w:r>
    </w:p>
    <w:p>
      <w:pPr>
        <w:jc w:val="center"/>
      </w:pPr>
      <w:r>
        <w:rPr>
          <w:b w:val="0"/>
          <w:i/>
        </w:rPr>
        <w:t>Dated 3 September 2024</w:t>
      </w:r>
    </w:p>
    <w:p/>
    <w:p>
      <w:r>
        <w:rPr>
          <w:b/>
          <w:i w:val="0"/>
        </w:rPr>
        <w:t>BETWEEN:</w:t>
      </w:r>
    </w:p>
    <w:p>
      <w:r>
        <w:rPr>
          <w:b w:val="0"/>
          <w:i w:val="0"/>
        </w:rPr>
        <w:t>(1)</w:t>
        <w:tab/>
        <w:t>HALSTEAD AEROSPACE LIMITED (registered number 03928174), Pinewood Technology Park, Filton, Bristol BS34 7QW (“Halstead”); and</w:t>
      </w:r>
    </w:p>
    <w:p>
      <w:r>
        <w:rPr>
          <w:b w:val="0"/>
          <w:i w:val="0"/>
        </w:rPr>
        <w:t>(2)</w:t>
        <w:tab/>
        <w:t>CALDERA MOBILITY SYSTEMS PLC (registered number 11420693), Skyworks House, Cranfield Aerospace Park, Cranfield MK43 0FQ (“Caldera”).</w:t>
      </w:r>
    </w:p>
    <w:p>
      <w:r>
        <w:rPr>
          <w:b/>
          <w:i w:val="0"/>
        </w:rPr>
        <w:t>BACKGROUND</w:t>
      </w:r>
    </w:p>
    <w:p>
      <w:r>
        <w:rPr>
          <w:b w:val="0"/>
          <w:i w:val="0"/>
        </w:rPr>
        <w:t>The parties wish to explore a potential licensing arrangement under which Halstead would license certain composite-curing technology to Caldera (the “Purpose”) and, for that purpose, each may disclose confidential information to the other.</w:t>
      </w:r>
    </w:p>
    <w:p>
      <w:r>
        <w:rPr>
          <w:b/>
          <w:i w:val="0"/>
        </w:rPr>
        <w:t>AGREED TERMS</w:t>
      </w:r>
    </w:p>
    <w:p>
      <w:r>
        <w:rPr>
          <w:b w:val="0"/>
          <w:i w:val="0"/>
        </w:rPr>
        <w:t>1.</w:t>
        <w:tab/>
        <w:t>Definition. “Confidential Information” means all non-public information disclosed by one party (the “Discloser”) to the other (the “Recipient”) in connection with the Purpose, whether oral, written or electronic, including technical data, process parameters, business plans and the existence and terms of the parties’ discussions.</w:t>
      </w:r>
    </w:p>
    <w:p>
      <w:r>
        <w:rPr>
          <w:b w:val="0"/>
          <w:i w:val="0"/>
        </w:rPr>
        <w:t>2.</w:t>
        <w:tab/>
        <w:t>Obligations. The Recipient shall (a) keep the Confidential Information secret; (b) use it only for the Purpose; and (c) not disclose it to any third party except to those of its officers, employees and professional advisers who need to know it and who are bound by equivalent obligations.</w:t>
      </w:r>
    </w:p>
    <w:p>
      <w:r>
        <w:rPr>
          <w:b w:val="0"/>
          <w:i w:val="0"/>
        </w:rPr>
        <w:t>3.</w:t>
        <w:tab/>
        <w:t>Exclusions. The obligations do not apply to information that is or becomes public other than through breach, was already lawfully held by the Recipient, or is independently developed without use of the Confidential Information.</w:t>
      </w:r>
    </w:p>
    <w:p>
      <w:r>
        <w:rPr>
          <w:b w:val="0"/>
          <w:i w:val="0"/>
        </w:rPr>
        <w:t>4.</w:t>
        <w:tab/>
        <w:t>Compelled Disclosure. The Recipient may disclose Confidential Information to the extent required by law or any regulatory authority, provided it gives the Discloser prompt notice where lawful to do so.</w:t>
      </w:r>
    </w:p>
    <w:p>
      <w:r>
        <w:rPr>
          <w:b w:val="0"/>
          <w:i w:val="0"/>
        </w:rPr>
        <w:t>5.</w:t>
        <w:tab/>
        <w:t>Return. On written request, the Recipient shall return or destroy the Confidential Information, save for one copy retained for compliance purposes and any electronic backups made in the ordinary course.</w:t>
      </w:r>
    </w:p>
    <w:p>
      <w:r>
        <w:rPr>
          <w:b w:val="0"/>
          <w:i w:val="0"/>
        </w:rPr>
        <w:t>6.</w:t>
        <w:tab/>
        <w:t>No Licence. Nothing in this Agreement grants any licence under any intellectual property rights, save the limited right to use the Confidential Information for the Purpose.</w:t>
      </w:r>
    </w:p>
    <w:p>
      <w:r>
        <w:rPr>
          <w:b w:val="0"/>
          <w:i w:val="0"/>
        </w:rPr>
        <w:t>7.</w:t>
        <w:tab/>
        <w:t>Term. This Agreement applies to disclosures made in the 24 months from its date, and the confidentiality obligations continue for 5 years from the date of disclosure.</w:t>
      </w:r>
    </w:p>
    <w:p>
      <w:r>
        <w:rPr>
          <w:b w:val="0"/>
          <w:i w:val="0"/>
        </w:rPr>
        <w:t>8.</w:t>
        <w:tab/>
        <w:t>Governing Law. This Agreement is governed by the law of England and Wales and the parties submit to the exclusive jurisdiction of the English courts.</w:t>
      </w:r>
    </w:p>
    <w:p/>
    <w:p>
      <w:r>
        <w:rPr>
          <w:b w:val="0"/>
          <w:i w:val="0"/>
        </w:rPr>
        <w:t>Signed for HALSTEAD AEROSPACE LIMITED:  ...........................  (Robert Falconer, CEO)</w:t>
      </w:r>
    </w:p>
    <w:p>
      <w:r>
        <w:rPr>
          <w:b w:val="0"/>
          <w:i w:val="0"/>
        </w:rPr>
      </w:r>
    </w:p>
    <w:p>
      <w:r>
        <w:rPr>
          <w:b w:val="0"/>
          <w:i w:val="0"/>
        </w:rPr>
        <w:t>Signed for CALDERA MOBILITY SYSTEMS PLC: ...........................  (Daniel Okonjo, CPO)</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4"/>
      </w:rPr>
      <w:t>Whitfield Carter LLP is a limited liability partnership registered in England and Wales (OC418562). Authorised and regulated by the Solicitors Regulation Authority.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