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PROJECT SKYLARK – SIGNING CHECKLIST</w:t>
      </w:r>
    </w:p>
    <w:p>
      <w:pPr>
        <w:jc w:val="center"/>
      </w:pPr>
      <w:r>
        <w:rPr>
          <w:b w:val="0"/>
          <w:i/>
        </w:rPr>
        <w:t>Patent and Technology Licence Agreement: Halstead Aerospace / Caldera Mobility</w:t>
      </w:r>
    </w:p>
    <w:p>
      <w:pPr>
        <w:jc w:val="center"/>
      </w:pPr>
      <w:r>
        <w:rPr>
          <w:b w:val="0"/>
          <w:i w:val="0"/>
        </w:rPr>
        <w:t>Target signing: 14 November 2024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0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Document / Step</w:t>
            </w:r>
          </w:p>
        </w:tc>
        <w:tc>
          <w:tcPr>
            <w:tcW w:type="dxa" w:w="250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00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360"/>
          </w:tcPr>
          <w:p>
            <w:r/>
            <w:r>
              <w:rPr>
                <w:sz w:val="18"/>
              </w:rPr>
              <w:t>Mutual NDA (3 Sep 2024)</w:t>
            </w:r>
          </w:p>
        </w:tc>
        <w:tc>
          <w:tcPr>
            <w:tcW w:type="dxa" w:w="2500"/>
          </w:tcPr>
          <w:p>
            <w:r/>
            <w:r>
              <w:rPr>
                <w:sz w:val="18"/>
              </w:rPr>
              <w:t>WC / Pemberton Rowe</w:t>
            </w:r>
          </w:p>
        </w:tc>
        <w:tc>
          <w:tcPr>
            <w:tcW w:type="dxa" w:w="2000"/>
          </w:tcPr>
          <w:p>
            <w:r/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50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4360"/>
          </w:tcPr>
          <w:p>
            <w:r/>
            <w:r>
              <w:rPr>
                <w:sz w:val="18"/>
              </w:rPr>
              <w:t>Heads of Terms (7 Oct 2024)</w:t>
            </w:r>
          </w:p>
        </w:tc>
        <w:tc>
          <w:tcPr>
            <w:tcW w:type="dxa" w:w="2500"/>
          </w:tcPr>
          <w:p>
            <w:r/>
            <w:r>
              <w:rPr>
                <w:sz w:val="18"/>
              </w:rPr>
              <w:t>WC</w:t>
            </w:r>
          </w:p>
        </w:tc>
        <w:tc>
          <w:tcPr>
            <w:tcW w:type="dxa" w:w="2000"/>
          </w:tcPr>
          <w:p>
            <w:r/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50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360"/>
          </w:tcPr>
          <w:p>
            <w:r/>
            <w:r>
              <w:rPr>
                <w:sz w:val="18"/>
              </w:rPr>
              <w:t>Hartington IP FTO search</w:t>
            </w:r>
          </w:p>
        </w:tc>
        <w:tc>
          <w:tcPr>
            <w:tcW w:type="dxa" w:w="2500"/>
          </w:tcPr>
          <w:p>
            <w:r/>
            <w:r>
              <w:rPr>
                <w:sz w:val="18"/>
              </w:rPr>
              <w:t>Hartington IP</w:t>
            </w:r>
          </w:p>
        </w:tc>
        <w:tc>
          <w:tcPr>
            <w:tcW w:type="dxa" w:w="2000"/>
          </w:tcPr>
          <w:p>
            <w:r/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50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4360"/>
          </w:tcPr>
          <w:p>
            <w:r/>
            <w:r>
              <w:rPr>
                <w:sz w:val="18"/>
              </w:rPr>
              <w:t>FTO / warranty advice note to Board</w:t>
            </w:r>
          </w:p>
        </w:tc>
        <w:tc>
          <w:tcPr>
            <w:tcW w:type="dxa" w:w="2500"/>
          </w:tcPr>
          <w:p>
            <w:r/>
            <w:r>
              <w:rPr>
                <w:sz w:val="18"/>
              </w:rPr>
              <w:t>WC</w:t>
            </w:r>
          </w:p>
        </w:tc>
        <w:tc>
          <w:tcPr>
            <w:tcW w:type="dxa" w:w="2000"/>
          </w:tcPr>
          <w:p>
            <w:r/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50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4360"/>
          </w:tcPr>
          <w:p>
            <w:r/>
            <w:r>
              <w:rPr>
                <w:sz w:val="18"/>
              </w:rPr>
              <w:t>Halstead board approval</w:t>
            </w:r>
          </w:p>
        </w:tc>
        <w:tc>
          <w:tcPr>
            <w:tcW w:type="dxa" w:w="2500"/>
          </w:tcPr>
          <w:p>
            <w:r/>
            <w:r>
              <w:rPr>
                <w:sz w:val="18"/>
              </w:rPr>
              <w:t>Halstead</w:t>
            </w:r>
          </w:p>
        </w:tc>
        <w:tc>
          <w:tcPr>
            <w:tcW w:type="dxa" w:w="2000"/>
          </w:tcPr>
          <w:p>
            <w:r/>
            <w:r>
              <w:rPr>
                <w:sz w:val="18"/>
              </w:rPr>
              <w:t>Complete (12 Nov)</w:t>
            </w:r>
          </w:p>
        </w:tc>
      </w:tr>
      <w:tr>
        <w:tc>
          <w:tcPr>
            <w:tcW w:type="dxa" w:w="50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4360"/>
          </w:tcPr>
          <w:p>
            <w:r/>
            <w:r>
              <w:rPr>
                <w:sz w:val="18"/>
              </w:rPr>
              <w:t>Caldera board approval</w:t>
            </w:r>
          </w:p>
        </w:tc>
        <w:tc>
          <w:tcPr>
            <w:tcW w:type="dxa" w:w="2500"/>
          </w:tcPr>
          <w:p>
            <w:r/>
            <w:r>
              <w:rPr>
                <w:sz w:val="18"/>
              </w:rPr>
              <w:t>Caldera</w:t>
            </w:r>
          </w:p>
        </w:tc>
        <w:tc>
          <w:tcPr>
            <w:tcW w:type="dxa" w:w="2000"/>
          </w:tcPr>
          <w:p>
            <w:r/>
            <w:r>
              <w:rPr>
                <w:sz w:val="18"/>
              </w:rPr>
              <w:t>Confirmed by Pemberton Rowe</w:t>
            </w:r>
          </w:p>
        </w:tc>
      </w:tr>
      <w:tr>
        <w:tc>
          <w:tcPr>
            <w:tcW w:type="dxa" w:w="50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4360"/>
          </w:tcPr>
          <w:p>
            <w:r/>
            <w:r>
              <w:rPr>
                <w:sz w:val="18"/>
              </w:rPr>
              <w:t>Licence Agreement v3 agreed form</w:t>
            </w:r>
          </w:p>
        </w:tc>
        <w:tc>
          <w:tcPr>
            <w:tcW w:type="dxa" w:w="2500"/>
          </w:tcPr>
          <w:p>
            <w:r/>
            <w:r>
              <w:rPr>
                <w:sz w:val="18"/>
              </w:rPr>
              <w:t>WC / Pemberton Rowe</w:t>
            </w:r>
          </w:p>
        </w:tc>
        <w:tc>
          <w:tcPr>
            <w:tcW w:type="dxa" w:w="2000"/>
          </w:tcPr>
          <w:p>
            <w:r/>
            <w:r>
              <w:rPr>
                <w:sz w:val="18"/>
              </w:rPr>
              <w:t>Agreed</w:t>
            </w:r>
          </w:p>
        </w:tc>
      </w:tr>
      <w:tr>
        <w:tc>
          <w:tcPr>
            <w:tcW w:type="dxa" w:w="50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4360"/>
          </w:tcPr>
          <w:p>
            <w:r/>
            <w:r>
              <w:rPr>
                <w:sz w:val="18"/>
              </w:rPr>
              <w:t>Schedule 1 (patents) verified</w:t>
            </w:r>
          </w:p>
        </w:tc>
        <w:tc>
          <w:tcPr>
            <w:tcW w:type="dxa" w:w="2500"/>
          </w:tcPr>
          <w:p>
            <w:r/>
            <w:r>
              <w:rPr>
                <w:sz w:val="18"/>
              </w:rPr>
              <w:t>Hartington IP</w:t>
            </w:r>
          </w:p>
        </w:tc>
        <w:tc>
          <w:tcPr>
            <w:tcW w:type="dxa" w:w="2000"/>
          </w:tcPr>
          <w:p>
            <w:r/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50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4360"/>
          </w:tcPr>
          <w:p>
            <w:r/>
            <w:r>
              <w:rPr>
                <w:sz w:val="18"/>
              </w:rPr>
              <w:t>Execution version PDF circulated</w:t>
            </w:r>
          </w:p>
        </w:tc>
        <w:tc>
          <w:tcPr>
            <w:tcW w:type="dxa" w:w="2500"/>
          </w:tcPr>
          <w:p>
            <w:r/>
            <w:r>
              <w:rPr>
                <w:sz w:val="18"/>
              </w:rPr>
              <w:t>WC</w:t>
            </w:r>
          </w:p>
        </w:tc>
        <w:tc>
          <w:tcPr>
            <w:tcW w:type="dxa" w:w="2000"/>
          </w:tcPr>
          <w:p>
            <w:r/>
            <w:r>
              <w:rPr>
                <w:sz w:val="18"/>
              </w:rPr>
              <w:t>To circulate 14 Nov</w:t>
            </w:r>
          </w:p>
        </w:tc>
      </w:tr>
      <w:tr>
        <w:tc>
          <w:tcPr>
            <w:tcW w:type="dxa" w:w="50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4360"/>
          </w:tcPr>
          <w:p>
            <w:r/>
            <w:r>
              <w:rPr>
                <w:sz w:val="18"/>
              </w:rPr>
              <w:t>Upfront fee £4,500,000 paid</w:t>
            </w:r>
          </w:p>
        </w:tc>
        <w:tc>
          <w:tcPr>
            <w:tcW w:type="dxa" w:w="2500"/>
          </w:tcPr>
          <w:p>
            <w:r/>
            <w:r>
              <w:rPr>
                <w:sz w:val="18"/>
              </w:rPr>
              <w:t>Caldera</w:t>
            </w:r>
          </w:p>
        </w:tc>
        <w:tc>
          <w:tcPr>
            <w:tcW w:type="dxa" w:w="2000"/>
          </w:tcPr>
          <w:p>
            <w:r/>
            <w:r>
              <w:rPr>
                <w:sz w:val="18"/>
              </w:rPr>
              <w:t>Due within 10 BD of signing</w:t>
            </w:r>
          </w:p>
        </w:tc>
      </w:tr>
      <w:tr>
        <w:tc>
          <w:tcPr>
            <w:tcW w:type="dxa" w:w="50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4360"/>
          </w:tcPr>
          <w:p>
            <w:r/>
            <w:r>
              <w:rPr>
                <w:sz w:val="18"/>
              </w:rPr>
              <w:t>Technology transfer (Schedule 2)</w:t>
            </w:r>
          </w:p>
        </w:tc>
        <w:tc>
          <w:tcPr>
            <w:tcW w:type="dxa" w:w="2500"/>
          </w:tcPr>
          <w:p>
            <w:r/>
            <w:r>
              <w:rPr>
                <w:sz w:val="18"/>
              </w:rPr>
              <w:t>Halstead</w:t>
            </w:r>
          </w:p>
        </w:tc>
        <w:tc>
          <w:tcPr>
            <w:tcW w:type="dxa" w:w="2000"/>
          </w:tcPr>
          <w:p>
            <w:r/>
            <w:r>
              <w:rPr>
                <w:sz w:val="18"/>
              </w:rPr>
              <w:t>Within 30 days of Effective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4"/>
      </w:rPr>
      <w:t>Whitfield Carter LLP is a limited liability partnership registered in England and Wales (OC418562). Authorised and regulated by the Solicitors Regulation Authority.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