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SKYLARK – TECHNOLOGY TRANSFER PLAN</w:t>
      </w:r>
    </w:p>
    <w:p>
      <w:pPr>
        <w:jc w:val="center"/>
      </w:pPr>
      <w:r>
        <w:rPr>
          <w:b w:val="0"/>
          <w:i/>
        </w:rPr>
        <w:t>Schedule 2 implementation plan (post-completion)</w:t>
      </w:r>
    </w:p>
    <w:p>
      <w:r>
        <w:rPr>
          <w:b w:val="0"/>
          <w:i w:val="0"/>
        </w:rPr>
        <w:t>This plan sets out how Halstead Aerospace Limited will transfer the Licensed Know-How to Caldera Mobility Systems plc following completion of the Patent and Technology Licence Agreement, within the 30-day period required by clause 3.1.</w:t>
      </w:r>
    </w:p>
    <w:p>
      <w:r>
        <w:rPr>
          <w:b/>
          <w:i w:val="0"/>
        </w:rPr>
        <w:t>1.</w:t>
        <w:tab/>
        <w:t>Scope</w:t>
      </w:r>
    </w:p>
    <w:p>
      <w:r>
        <w:rPr>
          <w:b w:val="0"/>
          <w:i w:val="0"/>
        </w:rPr>
        <w:t>Transfer comprises the RapidCure cure-cycle parameter set, heated-tooling design specifications, in-process QA/NDT protocols, work instructions WI-RC-001 to WI-RC-024, and the validation data package, each as listed in Schedule 2 to the Licence.</w:t>
      </w:r>
    </w:p>
    <w:p>
      <w:r>
        <w:rPr>
          <w:b/>
          <w:i w:val="0"/>
        </w:rPr>
        <w:t>2.</w:t>
        <w:tab/>
        <w:t>Phasing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0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7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0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200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Halstead lead</w:t>
            </w:r>
          </w:p>
        </w:tc>
      </w:tr>
      <w:tr>
        <w:tc>
          <w:tcPr>
            <w:tcW w:type="dxa" w:w="80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760"/>
          </w:tcPr>
          <w:p>
            <w:r/>
            <w:r>
              <w:rPr>
                <w:sz w:val="18"/>
              </w:rPr>
              <w:t>Secure data-room handover of documentation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Days 1–10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Dr Priya Saxena</w:t>
            </w:r>
          </w:p>
        </w:tc>
      </w:tr>
      <w:tr>
        <w:tc>
          <w:tcPr>
            <w:tcW w:type="dxa" w:w="8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760"/>
          </w:tcPr>
          <w:p>
            <w:r/>
            <w:r>
              <w:rPr>
                <w:sz w:val="18"/>
              </w:rPr>
              <w:t>On-site process walkthrough at Cranfield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Days 11–20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Helen Forsythe</w:t>
            </w:r>
          </w:p>
        </w:tc>
      </w:tr>
      <w:tr>
        <w:tc>
          <w:tcPr>
            <w:tcW w:type="dxa" w:w="80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760"/>
          </w:tcPr>
          <w:p>
            <w:r/>
            <w:r>
              <w:rPr>
                <w:sz w:val="18"/>
              </w:rPr>
              <w:t>First-article cure trial witnessed by Caldera QA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Days 21–30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Dr Priya Saxena</w:t>
            </w:r>
          </w:p>
        </w:tc>
      </w:tr>
      <w:tr>
        <w:tc>
          <w:tcPr>
            <w:tcW w:type="dxa" w:w="8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760"/>
          </w:tcPr>
          <w:p>
            <w:r/>
            <w:r>
              <w:rPr>
                <w:sz w:val="18"/>
              </w:rPr>
              <w:t>Technical assistance (40 person-days, Year 1)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Months 1–12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Halstead engineering</w:t>
            </w:r>
          </w:p>
        </w:tc>
      </w:tr>
    </w:tbl>
    <w:p>
      <w:r>
        <w:rPr>
          <w:b/>
          <w:i w:val="0"/>
        </w:rPr>
        <w:t>3.</w:t>
        <w:tab/>
        <w:t>Acceptance</w:t>
      </w:r>
    </w:p>
    <w:p>
      <w:r>
        <w:rPr>
          <w:b w:val="0"/>
          <w:i w:val="0"/>
        </w:rPr>
        <w:t>Transfer will be treated as complete on Caldera’s successful first-article cure trial producing a laminate meeting the equivalence criteria in the validation data package. Any technical assistance beyond the 40 free person-days will be charged at £1,250 per person-day under clause 3.2.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Whitfield Carter LLP is a limited liability partnership registered in England and Wales (OC418562). Authorised and regulated by the Solicitors Regulation Authority.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