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pPr>
      <w:r>
        <w:t xml:space="preserve">Strictly private and confidential — legally privileged</w:t>
      </w:r>
    </w:p>
    <w:p>
      <w:pPr>
        <w:pStyle w:val="Title"/>
      </w:pPr>
      <w:r>
        <w:t xml:space="preserve">ADVICE NOTE</w:t>
      </w:r>
    </w:p>
    <w:p>
      <w:pPr>
        <w:spacing w:after="80" w:line="276"/>
        <w:jc w:val="center"/>
      </w:pPr>
      <w:r>
        <w:t xml:space="preserve">Project Yarrow — Key risk issues on the Caldera supply agreement</w:t>
      </w:r>
    </w:p>
    <w:p>
      <w:pPr>
        <w:spacing w:after="80" w:line="276"/>
        <w:jc w:val="center"/>
      </w:pPr>
      <w:r>
        <w:t xml:space="preserve">To: Dr Helena Forsythe, Grace Underwood (Halstead Aerospace)   From: Sarah Whitfield / James Osei</w:t>
      </w:r>
    </w:p>
    <w:p>
      <w:pPr>
        <w:spacing w:after="220" w:line="276"/>
        <w:jc w:val="center"/>
      </w:pPr>
      <w:r>
        <w:t xml:space="preserve">3 November 2025</w:t>
      </w:r>
    </w:p>
    <w:p>
      <w:pPr>
        <w:spacing w:after="140" w:line="276"/>
      </w:pPr>
      <w:r>
        <w:t xml:space="preserve">This note summarises the principal legal and commercial risks on the draft long-term supply agreement (LTSA) with Caldera Mobility, and our recommendations, following circulation of our first draft to Pemberton Rowe LLP. It is privileged and prepared for Halstead’s internal use.</w:t>
      </w:r>
    </w:p>
    <w:p>
      <w:pPr>
        <w:pStyle w:val="Heading2"/>
      </w:pPr>
      <w:r>
        <w:t xml:space="preserve">1.  Liability cap</w:t>
      </w:r>
    </w:p>
    <w:p>
      <w:pPr>
        <w:spacing w:after="120" w:line="276"/>
      </w:pPr>
      <w:r>
        <w:t xml:space="preserve">Our v1 sets the annual aggregate cap at the greater of £10m or 125% of annual charges. Caldera’s likely position is to push for a higher multiple and to carve product-recall costs out of the cap. We recommend resisting an uncapped recall liability; a defined, separately-capped recall-support obligation is preferable. The personal-injury and aviation-products-liability carve-out (clause 14.4) should be retained but tied to the £50m insurance limit.</w:t>
      </w:r>
    </w:p>
    <w:p>
      <w:pPr>
        <w:pStyle w:val="Heading2"/>
      </w:pPr>
      <w:r>
        <w:t xml:space="preserve">2.  Liquidated damages and on-time delivery</w:t>
      </w:r>
    </w:p>
    <w:p>
      <w:pPr>
        <w:spacing w:after="120" w:line="276"/>
      </w:pPr>
      <w:r>
        <w:t xml:space="preserve">The LD regime (0.5%/week, capped at 10% of unit price) is defensible as a genuine pre-estimate. The greater exposure is the termination trigger for delay exceeding eight weeks on any Ship-set (clause 7.4); given ramp-up risk we suggest negotiating a cure mechanism and limiting the trigger to repeated failures within a rolling window rather than a single slip.</w:t>
      </w:r>
    </w:p>
    <w:p>
      <w:pPr>
        <w:pStyle w:val="Heading2"/>
      </w:pPr>
      <w:r>
        <w:t xml:space="preserve">3.  Minimum volume commitment vs. take-or-pay</w:t>
      </w:r>
    </w:p>
    <w:p>
      <w:pPr>
        <w:spacing w:after="120" w:line="276"/>
      </w:pPr>
      <w:r>
        <w:t xml:space="preserve">Schedule 2 commits Caldera to 417 Ship-sets with a 30% shortfall charge. This is favourable to Halstead, but the eVTOL programme carries certification timing risk. Expect Caldera to seek relief from the minimum where its own type-certification slips. We advise a narrow, time-limited relief tied to documented certification delay, not a general MAC-style out.</w:t>
      </w:r>
    </w:p>
    <w:p>
      <w:pPr>
        <w:pStyle w:val="Heading2"/>
      </w:pPr>
      <w:r>
        <w:t xml:space="preserve">4.  IP step-in licence</w:t>
      </w:r>
    </w:p>
    <w:p>
      <w:pPr>
        <w:spacing w:after="120" w:line="276"/>
      </w:pPr>
      <w:r>
        <w:t xml:space="preserve">Clause 13.3 grants Caldera a step-in licence to our background IP and manufacturing data to enable a second source on our default or insolvency. This is commercially sensitive. We recommend limiting the trigger to insolvency or persistent uncured supply failure, restricting use to the Aircraft programme only, and requiring an escrow/verification process before any data release.</w:t>
      </w:r>
    </w:p>
    <w:p>
      <w:pPr>
        <w:pStyle w:val="Heading2"/>
      </w:pPr>
      <w:r>
        <w:t xml:space="preserve">5.  Escalation / CPI mechanism</w:t>
      </w:r>
    </w:p>
    <w:p>
      <w:pPr>
        <w:spacing w:after="120" w:line="276"/>
      </w:pPr>
      <w:r>
        <w:t xml:space="preserve">Pricing escalates at 80% of CPI with a 4% cap. With current input-cost volatility (carbon fibre, energy), the 4% cap could leave Halstead exposed in a high-inflation year. Consider an additional raw-material index pass-through for carbon fibre, or raising the cap to 5%.</w:t>
      </w:r>
    </w:p>
    <w:p>
      <w:pPr>
        <w:pStyle w:val="Heading2"/>
      </w:pPr>
      <w:r>
        <w:t xml:space="preserve">6.  Recommendation</w:t>
      </w:r>
    </w:p>
    <w:p>
      <w:pPr>
        <w:spacing w:after="120" w:line="276"/>
      </w:pPr>
      <w:r>
        <w:t xml:space="preserve">The v1 is a strong opening position. Priorities for the next round are: (i) hold the line on the cap and recall carve-out; (ii) soften the single-slip termination trigger; (iii) accept a narrow certification-delay relief on the minimum volume; and (iv) protect the background-IP step-in. We will reflect these in v2 once Pemberton Rowe’s mark-up is received.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spacing w:before="60"/>
    </w:pPr>
    <w:r>
      <w:rPr>
        <w:color w:val="808080"/>
        <w:sz w:val="14"/>
        <w:szCs w:val="14"/>
      </w:rPr>
      <w:t xml:space="preserve">Project Yarrow — Advice Note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b/>
        <w:bCs/>
        <w:color w:val="1F3864"/>
        <w:sz w:val="26"/>
        <w:szCs w:val="26"/>
      </w:rPr>
      <w:t xml:space="preserve">Whitfield Carter LLP</w:t>
    </w:r>
  </w:p>
  <w:p>
    <w:pPr>
      <w:pBdr>
        <w:bottom w:val="single" w:color="1F3864" w:sz="6" w:space="4"/>
      </w:pBdr>
      <w:spacing w:after="60"/>
      <w:jc w:val="center"/>
    </w:pPr>
    <w:r>
      <w:rPr>
        <w:color w:val="595959"/>
        <w:sz w:val="16"/>
        <w:szCs w:val="16"/>
      </w:rPr>
      <w:t xml:space="preserve">Solicitors  ·  22 Bishopsgate, London EC2N 4BQ  ·  DX 138760 Cheapside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120"/>
      <w:jc w:val="center"/>
    </w:pPr>
    <w:rPr>
      <w:rFonts w:ascii="Arial" w:cs="Arial" w:eastAsia="Arial" w:hAnsi="Arial"/>
      <w:b/>
      <w:bCs/>
      <w:sz w:val="34"/>
      <w:szCs w:val="34"/>
    </w:rPr>
  </w:style>
  <w:style w:type="paragraph" w:styleId="Heading1">
    <w:name w:val="Heading 1"/>
    <w:basedOn w:val="Normal"/>
    <w:next w:val="Normal"/>
    <w:qFormat/>
    <w:pPr>
      <w:keepNext/>
      <w:spacing w:after="140" w:before="260"/>
      <w:outlineLvl w:val="0"/>
    </w:pPr>
    <w:rPr>
      <w:rFonts w:ascii="Arial" w:cs="Arial" w:eastAsia="Arial" w:hAnsi="Arial"/>
      <w:b/>
      <w:bCs/>
      <w:sz w:val="24"/>
      <w:szCs w:val="24"/>
    </w:rPr>
  </w:style>
  <w:style w:type="paragraph" w:styleId="Heading2">
    <w:name w:val="Heading 2"/>
    <w:basedOn w:val="Normal"/>
    <w:next w:val="Normal"/>
    <w:qFormat/>
    <w:pPr>
      <w:keepNext/>
      <w:spacing w:after="10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2026-06-26T14:41:56.827Z</dcterms:created>
  <dcterms:modified xsi:type="dcterms:W3CDTF">2026-06-26T14:41:56.827Z</dcterms:modified>
</cp:coreProperties>
</file>

<file path=docProps/custom.xml><?xml version="1.0" encoding="utf-8"?>
<Properties xmlns="http://schemas.openxmlformats.org/officeDocument/2006/custom-properties" xmlns:vt="http://schemas.openxmlformats.org/officeDocument/2006/docPropsVTypes"/>
</file>