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QUALITY AND AIRWORTHINESS AGREEMENT</w:t>
      </w:r>
    </w:p>
    <w:p>
      <w:pPr>
        <w:spacing w:after="240" w:line="276"/>
        <w:jc w:val="center"/>
      </w:pPr>
      <w:r>
        <w:t xml:space="preserve">Schedule to the Project Yarrow LTSA</w:t>
      </w:r>
    </w:p>
    <w:p>
      <w:pPr>
        <w:spacing w:after="140" w:line="276"/>
      </w:pPr>
      <w:r>
        <w:t xml:space="preserve">This Quality and Airworthiness Agreement supplements the Long-Term Supply and Manufacturing Agreement between Halstead Aerospace Limited (the “Supplier”) and Caldera Mobility Systems plc (the “Customer”) and sets out the quality, configuration and airworthiness controls applying to the Products.</w:t>
      </w:r>
    </w:p>
    <w:p>
      <w:pPr>
        <w:pStyle w:val="Heading2"/>
      </w:pPr>
      <w:r>
        <w:t xml:space="preserve">1.  Quality management system</w:t>
      </w:r>
    </w:p>
    <w:p>
      <w:pPr>
        <w:tabs>
          <w:tab w:val="left" w:pos="720"/>
        </w:tabs>
        <w:spacing w:after="120" w:line="276"/>
        <w:ind w:left="720" w:hanging="720"/>
      </w:pPr>
      <w:r>
        <w:rPr>
          <w:b w:val="false"/>
          <w:bCs w:val="false"/>
        </w:rPr>
        <w:t xml:space="preserve">1.1	</w:t>
      </w:r>
      <w:r>
        <w:t xml:space="preserve">The Supplier shall maintain certification to AS9100D and its EASA Part 21G Production Organisation Approval No. UK.21G.0119 throughout the Term, and shall notify the Customer within five (5) Business Days of any suspension, limitation or withdrawal of either.</w:t>
      </w:r>
    </w:p>
    <w:p>
      <w:pPr>
        <w:tabs>
          <w:tab w:val="left" w:pos="720"/>
        </w:tabs>
        <w:spacing w:after="120" w:line="276"/>
        <w:ind w:left="720" w:hanging="720"/>
      </w:pPr>
      <w:r>
        <w:rPr>
          <w:b w:val="false"/>
          <w:bCs w:val="false"/>
        </w:rPr>
        <w:t xml:space="preserve">1.2	</w:t>
      </w:r>
      <w:r>
        <w:t xml:space="preserve">The Supplier shall apply a documented Production Part Approval Process and shall not deliver serial Products until First Article Inspection (SOW1) has been accepted.</w:t>
      </w:r>
    </w:p>
    <w:p>
      <w:pPr>
        <w:pStyle w:val="Heading2"/>
      </w:pPr>
      <w:r>
        <w:t xml:space="preserve">2.  Configuration and change control</w:t>
      </w:r>
    </w:p>
    <w:p>
      <w:pPr>
        <w:tabs>
          <w:tab w:val="left" w:pos="720"/>
        </w:tabs>
        <w:spacing w:after="120" w:line="276"/>
        <w:ind w:left="720" w:hanging="720"/>
      </w:pPr>
      <w:r>
        <w:rPr>
          <w:b w:val="false"/>
          <w:bCs w:val="false"/>
        </w:rPr>
        <w:t xml:space="preserve">2.1	</w:t>
      </w:r>
      <w:r>
        <w:t xml:space="preserve">The Products shall conform to Configuration Baseline CMS1-AF-CB-Rev.C. No change to a frozen design, qualified material or qualified process may be made without the Customer’s written approval under clause 12 of the LTSA.</w:t>
      </w:r>
    </w:p>
    <w:p>
      <w:pPr>
        <w:tabs>
          <w:tab w:val="left" w:pos="720"/>
        </w:tabs>
        <w:spacing w:after="120" w:line="276"/>
        <w:ind w:left="720" w:hanging="720"/>
      </w:pPr>
      <w:r>
        <w:rPr>
          <w:b w:val="false"/>
          <w:bCs w:val="false"/>
        </w:rPr>
        <w:t xml:space="preserve">2.2	</w:t>
      </w:r>
      <w:r>
        <w:t xml:space="preserve">The Supplier shall maintain an as-built configuration record for each Ship-set and shall report any deviation, concession or non-conformance for Customer disposition before delivery.</w:t>
      </w:r>
    </w:p>
    <w:p>
      <w:pPr>
        <w:pStyle w:val="Heading2"/>
      </w:pPr>
      <w:r>
        <w:t xml:space="preserve">3.  Inspection, NDT and conformity</w:t>
      </w:r>
    </w:p>
    <w:p>
      <w:pPr>
        <w:tabs>
          <w:tab w:val="left" w:pos="720"/>
        </w:tabs>
        <w:spacing w:after="120" w:line="276"/>
        <w:ind w:left="720" w:hanging="720"/>
      </w:pPr>
      <w:r>
        <w:rPr>
          <w:b w:val="false"/>
          <w:bCs w:val="false"/>
        </w:rPr>
        <w:t xml:space="preserve">3.1	</w:t>
      </w:r>
      <w:r>
        <w:t xml:space="preserve">Each Product shall undergo dimensional inspection and non-destructive testing (ultrasonic C-scan for bondline and laminate integrity) per the Specification, and shall be released with a Certificate of Conformity and, where required, an EASA Form 1.</w:t>
      </w:r>
    </w:p>
    <w:p>
      <w:pPr>
        <w:tabs>
          <w:tab w:val="left" w:pos="720"/>
        </w:tabs>
        <w:spacing w:after="120" w:line="276"/>
        <w:ind w:left="720" w:hanging="720"/>
      </w:pPr>
      <w:r>
        <w:rPr>
          <w:b w:val="false"/>
          <w:bCs w:val="false"/>
        </w:rPr>
        <w:t xml:space="preserve">3.2	</w:t>
      </w:r>
      <w:r>
        <w:t xml:space="preserve">The Customer and the airworthiness authorities may conduct source inspection and audits on reasonable notice under clause 9.2 of the LTSA.</w:t>
      </w:r>
    </w:p>
    <w:p>
      <w:pPr>
        <w:pStyle w:val="Heading2"/>
      </w:pPr>
      <w:r>
        <w:t xml:space="preserve">4.  Non-conformance and corrective action</w:t>
      </w:r>
    </w:p>
    <w:p>
      <w:pPr>
        <w:tabs>
          <w:tab w:val="left" w:pos="720"/>
        </w:tabs>
        <w:spacing w:after="120" w:line="276"/>
        <w:ind w:left="720" w:hanging="720"/>
      </w:pPr>
      <w:r>
        <w:rPr>
          <w:b w:val="false"/>
          <w:bCs w:val="false"/>
        </w:rPr>
        <w:t xml:space="preserve">4.1	</w:t>
      </w:r>
      <w:r>
        <w:t xml:space="preserve">On discovery of a non-conformance, the Supplier shall contain affected product, notify the Customer within one (1) Business Day, and provide an 8D corrective-action report within ten (10) Business Days. For grounded-aircraft (AOG) issues, the response time is eight (8) hours.</w:t>
      </w:r>
    </w:p>
    <w:p>
      <w:pPr>
        <w:tabs>
          <w:tab w:val="left" w:pos="720"/>
        </w:tabs>
        <w:spacing w:after="120" w:line="276"/>
        <w:ind w:left="720" w:hanging="720"/>
      </w:pPr>
      <w:r>
        <w:rPr>
          <w:b w:val="false"/>
          <w:bCs w:val="false"/>
        </w:rPr>
        <w:t xml:space="preserve">4.2	</w:t>
      </w:r>
      <w:r>
        <w:t xml:space="preserve">The Supplier shall operate a traceable escape and recall procedure and shall support any airworthiness-directive or service-bulletin action affecting the Products.</w:t>
      </w:r>
    </w:p>
    <w:p>
      <w:pPr>
        <w:pStyle w:val="Heading2"/>
      </w:pPr>
      <w:r>
        <w:t xml:space="preserve">5.  Records and traceability</w:t>
      </w:r>
    </w:p>
    <w:p>
      <w:pPr>
        <w:tabs>
          <w:tab w:val="left" w:pos="720"/>
        </w:tabs>
        <w:spacing w:after="120" w:line="276"/>
        <w:ind w:left="720" w:hanging="720"/>
      </w:pPr>
      <w:r>
        <w:rPr>
          <w:b w:val="false"/>
          <w:bCs w:val="false"/>
        </w:rPr>
        <w:t xml:space="preserve">5.1	</w:t>
      </w:r>
      <w:r>
        <w:t xml:space="preserve">The Supplier shall retain full traceability and quality records for each Product for the life of the Aircraft type plus ten (10) years, per clause 20 of the LTSA.</w:t>
      </w:r>
    </w:p>
    <w:p>
      <w:pPr>
        <w:spacing w:after="200" w:line="276"/>
      </w:pPr>
      <w:r>
        <w:t xml:space="preserve"/>
      </w:r>
    </w:p>
    <w:p>
      <w:pPr>
        <w:spacing w:after="200" w:line="276"/>
      </w:pPr>
      <w:r>
        <w:t xml:space="preserve">SIGNED for and on behalf of </w:t>
      </w:r>
      <w:r>
        <w:rPr>
          <w:b/>
          <w:bCs/>
        </w:rPr>
        <w:t xml:space="preserve">HALSTEAD AEROSPACE LIMITED</w:t>
      </w:r>
    </w:p>
    <w:p>
      <w:pPr>
        <w:spacing w:after="100" w:line="276"/>
      </w:pPr>
      <w:r>
        <w:t xml:space="preserve">Signature:  ......................................................</w:t>
      </w:r>
    </w:p>
    <w:p>
      <w:pPr>
        <w:spacing w:after="100" w:line="276"/>
      </w:pPr>
      <w:r>
        <w:t xml:space="preserve">Name:  Dr Priya Saxena</w:t>
      </w:r>
    </w:p>
    <w:p>
      <w:pPr>
        <w:spacing w:after="320" w:line="276"/>
      </w:pPr>
      <w:r>
        <w:t xml:space="preserve">Title:  Director of Quality</w:t>
      </w:r>
    </w:p>
    <w:p>
      <w:pPr>
        <w:spacing w:after="200" w:line="276"/>
      </w:pPr>
      <w:r>
        <w:t xml:space="preserve">SIGNED for and on behalf of </w:t>
      </w:r>
      <w:r>
        <w:rPr>
          <w:b/>
          <w:bCs/>
        </w:rPr>
        <w:t xml:space="preserve">CALDERA MOBILITY SYSTEMS PLC</w:t>
      </w:r>
    </w:p>
    <w:p>
      <w:pPr>
        <w:spacing w:after="100" w:line="276"/>
      </w:pPr>
      <w:r>
        <w:t xml:space="preserve">Signature:  ......................................................</w:t>
      </w:r>
    </w:p>
    <w:p>
      <w:pPr>
        <w:spacing w:after="100" w:line="276"/>
      </w:pPr>
      <w:r>
        <w:t xml:space="preserve">Name:  Hannah Whitcombe</w:t>
      </w:r>
    </w:p>
    <w:p>
      <w:pPr>
        <w:spacing w:after="320" w:line="276"/>
      </w:pPr>
      <w:r>
        <w:t xml:space="preserve">Title:  Head of Supplier Quality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Quality &amp; Airworthiness Agreement</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2026-06-26T14:41:56.818Z</dcterms:created>
  <dcterms:modified xsi:type="dcterms:W3CDTF">2026-06-26T14:41:56.818Z</dcterms:modified>
</cp:coreProperties>
</file>

<file path=docProps/custom.xml><?xml version="1.0" encoding="utf-8"?>
<Properties xmlns="http://schemas.openxmlformats.org/officeDocument/2006/custom-properties" xmlns:vt="http://schemas.openxmlformats.org/officeDocument/2006/docPropsVTypes"/>
</file>