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355"/>
          <w:sz w:val="36"/>
        </w:rPr>
        <w:t>Whitfield Carter LLP</w:t>
      </w:r>
    </w:p>
    <w:p>
      <w:pPr>
        <w:spacing w:after="40"/>
      </w:pPr>
      <w:r>
        <w:rPr>
          <w:color w:val="555555"/>
          <w:sz w:val="17"/>
        </w:rPr>
        <w:t>Solicitors  ·  22 Bishopsgate, London EC2N 4BQ  ·  +44 (0)20 7946 0211</w:t>
      </w:r>
    </w:p>
    <w:p>
      <w:pPr>
        <w:pBdr>
          <w:bottom w:val="single" w:sz="6" w:space="1" w:color="1F3355"/>
        </w:pBdr>
        <w:spacing w:after="160"/>
      </w:pPr>
    </w:p>
    <w:p>
      <w:pPr>
        <w:spacing w:after="40" w:before="0"/>
      </w:pPr>
      <w:r>
        <w:rPr>
          <w:b/>
          <w:i w:val="0"/>
        </w:rPr>
        <w:t>PRIVILEGED &amp; CONFIDENTIAL — LEGAL ADVICE</w:t>
      </w:r>
    </w:p>
    <w:p>
      <w:pPr>
        <w:spacing w:after="200" w:before="0"/>
      </w:pPr>
      <w:r>
        <w:rPr>
          <w:b w:val="0"/>
          <w:i/>
          <w:sz w:val="19"/>
        </w:rPr>
        <w:t>Prepared for the Board of Halstead Aerospace Limited</w:t>
      </w:r>
    </w:p>
    <w:tbl>
      <w:tblPr>
        <w:tblStyle w:val="TableGrid"/>
        <w:tblW w:type="auto" w:w="0"/>
        <w:tblLook w:firstColumn="1" w:firstRow="1" w:lastColumn="0" w:lastRow="0" w:noHBand="0" w:noVBand="1" w:val="04A0"/>
      </w:tblPr>
      <w:tblGrid>
        <w:gridCol w:w="4759"/>
        <w:gridCol w:w="4759"/>
      </w:tblGrid>
      <w:tr>
        <w:tc>
          <w:tcPr>
            <w:tcW w:type="dxa" w:w="1701"/>
          </w:tcPr>
          <w:p>
            <w:r/>
            <w:r>
              <w:rPr>
                <w:sz w:val="19"/>
              </w:rPr>
              <w:t>To</w:t>
            </w:r>
          </w:p>
        </w:tc>
        <w:tc>
          <w:tcPr>
            <w:tcW w:type="dxa" w:w="7370"/>
          </w:tcPr>
          <w:p>
            <w:r/>
            <w:r>
              <w:rPr>
                <w:sz w:val="19"/>
              </w:rPr>
              <w:t>Robert Falconer (CEO); Grace Underwood (Group Finance Director); Board of Halstead Aerospace Limited</w:t>
            </w:r>
          </w:p>
        </w:tc>
      </w:tr>
      <w:tr>
        <w:tc>
          <w:tcPr>
            <w:tcW w:type="dxa" w:w="1701"/>
          </w:tcPr>
          <w:p>
            <w:r/>
            <w:r>
              <w:rPr>
                <w:sz w:val="19"/>
              </w:rPr>
              <w:t>From</w:t>
            </w:r>
          </w:p>
        </w:tc>
        <w:tc>
          <w:tcPr>
            <w:tcW w:type="dxa" w:w="7370"/>
          </w:tcPr>
          <w:p>
            <w:r/>
            <w:r>
              <w:rPr>
                <w:sz w:val="19"/>
              </w:rPr>
              <w:t>Sarah Whitfield (Partner) and James Osei (Senior Associate), Whitfield Carter LLP</w:t>
            </w:r>
          </w:p>
        </w:tc>
      </w:tr>
      <w:tr>
        <w:tc>
          <w:tcPr>
            <w:tcW w:type="dxa" w:w="1701"/>
          </w:tcPr>
          <w:p>
            <w:r/>
            <w:r>
              <w:rPr>
                <w:sz w:val="19"/>
              </w:rPr>
              <w:t>Date</w:t>
            </w:r>
          </w:p>
        </w:tc>
        <w:tc>
          <w:tcPr>
            <w:tcW w:type="dxa" w:w="7370"/>
          </w:tcPr>
          <w:p>
            <w:r/>
            <w:r>
              <w:rPr>
                <w:sz w:val="19"/>
              </w:rPr>
              <w:t>21 January 2025</w:t>
            </w:r>
          </w:p>
        </w:tc>
      </w:tr>
      <w:tr>
        <w:tc>
          <w:tcPr>
            <w:tcW w:type="dxa" w:w="1701"/>
          </w:tcPr>
          <w:p>
            <w:r/>
            <w:r>
              <w:rPr>
                <w:sz w:val="19"/>
              </w:rPr>
              <w:t>Matter</w:t>
            </w:r>
          </w:p>
        </w:tc>
        <w:tc>
          <w:tcPr>
            <w:tcW w:type="dxa" w:w="7370"/>
          </w:tcPr>
          <w:p>
            <w:r/>
            <w:r>
              <w:rPr>
                <w:sz w:val="19"/>
              </w:rPr>
              <w:t>WC-00146 — Dr Priya Saxena: grievance and exit strategy</w:t>
            </w:r>
          </w:p>
        </w:tc>
      </w:tr>
      <w:tr>
        <w:tc>
          <w:tcPr>
            <w:tcW w:type="dxa" w:w="1701"/>
          </w:tcPr>
          <w:p>
            <w:r/>
            <w:r>
              <w:rPr>
                <w:sz w:val="19"/>
              </w:rPr>
              <w:t>Subject</w:t>
            </w:r>
          </w:p>
        </w:tc>
        <w:tc>
          <w:tcPr>
            <w:tcW w:type="dxa" w:w="7370"/>
          </w:tcPr>
          <w:p>
            <w:r/>
            <w:r>
              <w:rPr>
                <w:sz w:val="19"/>
              </w:rPr>
              <w:t>Advice on settlement of whistleblowing grievance</w:t>
            </w:r>
          </w:p>
        </w:tc>
      </w:tr>
    </w:tbl>
    <w:p>
      <w:pPr>
        <w:spacing w:after="120" w:before="0"/>
      </w:pPr>
    </w:p>
    <w:p>
      <w:pPr>
        <w:spacing w:before="120" w:after="100"/>
      </w:pPr>
      <w:r>
        <w:rPr>
          <w:b/>
          <w:sz w:val="23"/>
        </w:rPr>
        <w:t>1. Executive summary</w:t>
      </w:r>
    </w:p>
    <w:p>
      <w:pPr>
        <w:spacing w:after="120" w:before="0"/>
        <w:jc w:val="both"/>
      </w:pPr>
      <w:r>
        <w:rPr>
          <w:b w:val="0"/>
          <w:i w:val="0"/>
        </w:rPr>
        <w:t>We have reviewed Dr Saxena's grievance of 14 January 2025, her service agreement, the relevant correspondence of October–December 2024 and the certification records for the Caldera CMS-1 shipsets. In our view the Company faces material litigation risk if the matter proceeds to the Employment Tribunal, and we recommend that the Board authorises a negotiated exit by way of a settlement agreement, alongside an independent technical review of the underlying quality concern, which must be handled separately and on its own merits. This note is privileged and should not be circulated beyond the Board.</w:t>
      </w:r>
    </w:p>
    <w:p>
      <w:pPr>
        <w:spacing w:before="120" w:after="100"/>
      </w:pPr>
      <w:r>
        <w:rPr>
          <w:b/>
          <w:sz w:val="23"/>
        </w:rPr>
        <w:t>2. The legal framework</w:t>
      </w:r>
    </w:p>
    <w:p>
      <w:pPr>
        <w:spacing w:after="120" w:before="0"/>
        <w:jc w:val="both"/>
      </w:pPr>
      <w:r>
        <w:rPr>
          <w:b w:val="0"/>
          <w:i w:val="0"/>
        </w:rPr>
        <w:t>Dr Saxena's disclosures of October to December 2024 are, on their face, qualifying disclosures under section 43B of the Employment Rights Act 1996: each tended to show that the Company was failing to comply with a legal obligation (its Part 21 airworthiness obligations) and, arguably, that the health or safety of individuals was being endangered. If she can show that she was subjected to a detriment, or dismissed, on the ground that she made those disclosures, she will succeed in a claim under sections 47B and 103A respectively. Two features of such claims materially increase the Company's exposure: first, no qualifying period of service is required; and second, compensation is not subject to the statutory cap that applies to ordinary unfair dismissal, so an award could in principle include a substantial sum for future loss and injury to feelings.</w:t>
      </w:r>
    </w:p>
    <w:p>
      <w:pPr>
        <w:spacing w:before="120" w:after="100"/>
      </w:pPr>
      <w:r>
        <w:rPr>
          <w:b/>
          <w:sz w:val="23"/>
        </w:rPr>
        <w:t>3. Assessment of the merits</w:t>
      </w:r>
    </w:p>
    <w:p>
      <w:pPr>
        <w:spacing w:after="120" w:before="0"/>
        <w:jc w:val="both"/>
      </w:pPr>
      <w:r>
        <w:rPr>
          <w:b w:val="0"/>
          <w:i w:val="0"/>
        </w:rPr>
        <w:t>The disclosures are well-evidenced and contemporaneous, which is unhelpful to the Company on causation. The note of concern of 8 January 2025 and the removal of Dr Saxena from the Caldera governance follow closely on her December disclosure, and a Tribunal may be invited to draw an inference. The Company's position — that any changes to her role formed part of a pre-existing and genuine restructuring of the quality function — is arguable but is not, on the documents we have seen, strongly supported. We assess the Company's prospects of successfully defending a detriment claim at no better than 35–40%.</w:t>
      </w:r>
    </w:p>
    <w:p>
      <w:pPr>
        <w:spacing w:before="120" w:after="100"/>
      </w:pPr>
      <w:r>
        <w:rPr>
          <w:b/>
          <w:sz w:val="23"/>
        </w:rPr>
        <w:t>4. Quantum if the matter is fought and lost</w:t>
      </w:r>
    </w:p>
    <w:p>
      <w:pPr>
        <w:spacing w:after="120" w:before="0"/>
        <w:jc w:val="both"/>
      </w:pPr>
      <w:r>
        <w:rPr>
          <w:b w:val="0"/>
          <w:i w:val="0"/>
        </w:rPr>
        <w:t>Dr Saxena's gross annual remuneration package is approximately £177,500 (salary £142,000 plus pension and benefits). On a realistic but adverse view, a Tribunal award could comprise up to 18 months' net future loss, a basic award, and an injury-to-feelings award in the middle Vento band, producing a total in the region of £230,000–£300,000 before any uplift for failure to follow a fair procedure. Irrecoverable defence costs to a final hearing are likely to be £120,000–£160,000.</w:t>
      </w:r>
    </w:p>
    <w:p>
      <w:pPr>
        <w:spacing w:before="120" w:after="100"/>
      </w:pPr>
      <w:r>
        <w:rPr>
          <w:b/>
          <w:sz w:val="23"/>
        </w:rPr>
        <w:t>5. Recommendation</w:t>
      </w:r>
    </w:p>
    <w:p>
      <w:pPr>
        <w:spacing w:after="120" w:before="0"/>
        <w:jc w:val="both"/>
      </w:pPr>
      <w:r>
        <w:rPr>
          <w:b w:val="0"/>
          <w:i w:val="0"/>
        </w:rPr>
        <w:t>We recommend that the Board: (a) authorise an opening settlement offer of an ex gratia sum of £95,000, with delegated authority to the CEO to settle up to £140,000 inclusive; (b) commission, separately and irrespective of the settlement, an independent review of the cure-cycle conformance evidence for the affected shipsets, and quarantine those shipsets pending its outcome; and (c) ensure that nothing in the settlement is, or could be presented as, an attempt to buy the silence of a whistleblower on a safety matter — the settlement agreement must expressly preserve Dr Saxena's right to make protected disclosures and to communicate with the Civil Aviation Authority.</w:t>
      </w:r>
    </w:p>
    <w:p>
      <w:pPr>
        <w:spacing w:after="200" w:before="0"/>
        <w:jc w:val="both"/>
      </w:pPr>
      <w:r>
        <w:rPr>
          <w:b w:val="0"/>
          <w:i w:val="0"/>
        </w:rPr>
        <w:t>We are available to discuss this advice with the Board at its convenience.</w:t>
      </w:r>
    </w:p>
    <w:p>
      <w:pPr>
        <w:spacing w:after="0" w:before="0"/>
      </w:pPr>
      <w:r>
        <w:rPr>
          <w:b/>
          <w:i w:val="0"/>
        </w:rPr>
        <w:t>Whitfield Carter LLP</w:t>
      </w:r>
    </w:p>
    <w:p>
      <w:pPr>
        <w:spacing w:after="0" w:before="0"/>
      </w:pPr>
      <w:r>
        <w:rPr>
          <w:b w:val="0"/>
          <w:i w:val="0"/>
          <w:sz w:val="18"/>
        </w:rPr>
        <w:t>21 January 2025</w:t>
      </w:r>
    </w:p>
    <w:p>
      <w:pPr>
        <w:spacing w:before="280"/>
      </w:pPr>
      <w:r>
        <w:rPr>
          <w:i/>
          <w:color w:val="777777"/>
          <w:sz w:val="15"/>
        </w:rPr>
        <w:t>Whitfield Carter LLP is a limited liability partnership registered in England and Wales (OC# 412207). A list of members is available at the registered office, 22 Bishopsgate, London EC2N 4BQ. Authorised and regulated by the Solicitors Regulation Authority (SRA# 619204). This communication is confidential and may be legally privileged.</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