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rPr>
        <w:t>IN THE EMPLOYMENT TRIBUNAL</w:t>
      </w:r>
    </w:p>
    <w:p>
      <w:pPr>
        <w:spacing w:after="120" w:before="0"/>
      </w:pPr>
      <w:r>
        <w:rPr>
          <w:b w:val="0"/>
          <w:i w:val="0"/>
        </w:rPr>
        <w:t>BETWEEN:</w:t>
      </w:r>
    </w:p>
    <w:p>
      <w:pPr>
        <w:spacing w:after="40" w:before="0"/>
        <w:jc w:val="center"/>
      </w:pPr>
      <w:r>
        <w:rPr>
          <w:b/>
          <w:i w:val="0"/>
        </w:rPr>
        <w:t>DR PRIYA SAXENA</w:t>
      </w:r>
    </w:p>
    <w:p>
      <w:pPr>
        <w:spacing w:after="120" w:before="0"/>
        <w:jc w:val="right"/>
      </w:pPr>
      <w:r>
        <w:rPr>
          <w:b w:val="0"/>
          <w:i w:val="0"/>
        </w:rPr>
        <w:t>Claimant</w:t>
      </w:r>
    </w:p>
    <w:p>
      <w:pPr>
        <w:spacing w:after="120" w:before="0"/>
        <w:jc w:val="center"/>
      </w:pPr>
      <w:r>
        <w:rPr>
          <w:b w:val="0"/>
          <w:i w:val="0"/>
        </w:rPr>
        <w:t>and</w:t>
      </w:r>
    </w:p>
    <w:p>
      <w:pPr>
        <w:spacing w:after="40" w:before="0"/>
        <w:jc w:val="center"/>
      </w:pPr>
      <w:r>
        <w:rPr>
          <w:b/>
          <w:i w:val="0"/>
        </w:rPr>
        <w:t>HALSTEAD AEROSPACE LIMITED</w:t>
      </w:r>
    </w:p>
    <w:p>
      <w:pPr>
        <w:spacing w:after="200" w:before="0"/>
        <w:jc w:val="right"/>
      </w:pPr>
      <w:r>
        <w:rPr>
          <w:b w:val="0"/>
          <w:i w:val="0"/>
        </w:rPr>
        <w:t>Respondent</w:t>
      </w:r>
    </w:p>
    <w:p>
      <w:pPr>
        <w:spacing w:after="40" w:before="0"/>
        <w:jc w:val="center"/>
      </w:pPr>
      <w:r>
        <w:rPr>
          <w:b/>
          <w:i w:val="0"/>
        </w:rPr>
        <w:t>GROUNDS OF RESISTANCE</w:t>
      </w:r>
    </w:p>
    <w:p>
      <w:pPr>
        <w:spacing w:after="200" w:before="0"/>
        <w:jc w:val="center"/>
      </w:pPr>
      <w:r>
        <w:rPr>
          <w:b w:val="0"/>
          <w:i/>
          <w:sz w:val="18"/>
        </w:rPr>
        <w:t>(Draft — prepared on a contingency basis; not filed in light of settlement)</w:t>
      </w:r>
    </w:p>
    <w:p>
      <w:pPr>
        <w:spacing w:before="120" w:after="100"/>
      </w:pPr>
      <w:r>
        <w:rPr>
          <w:b/>
          <w:sz w:val="23"/>
        </w:rPr>
        <w:t>1. Introduction</w:t>
      </w:r>
    </w:p>
    <w:p>
      <w:pPr>
        <w:spacing w:after="120" w:before="0"/>
        <w:jc w:val="both"/>
      </w:pPr>
      <w:r>
        <w:rPr>
          <w:b w:val="0"/>
          <w:i w:val="0"/>
        </w:rPr>
        <w:t>1.1  The Respondent is a manufacturer of composite primary airframe structures for the civil aerospace and advanced air mobility sectors. The Claimant was employed by the Respondent as Director of Quality from 1 April 2019 until the termination of her employment by mutual agreement on 28 February 2025.</w:t>
      </w:r>
    </w:p>
    <w:p>
      <w:pPr>
        <w:spacing w:after="120" w:before="0"/>
        <w:jc w:val="both"/>
      </w:pPr>
      <w:r>
        <w:rPr>
          <w:b w:val="0"/>
          <w:i w:val="0"/>
        </w:rPr>
        <w:t>1.2  Save where expressly admitted, each and every allegation in the Claimant's claim is denied as if set out and traversed individually. The Respondent will refer at the hearing to the full circumstances for their full terms and effect.</w:t>
      </w:r>
    </w:p>
    <w:p>
      <w:pPr>
        <w:spacing w:before="120" w:after="100"/>
      </w:pPr>
      <w:r>
        <w:rPr>
          <w:b/>
          <w:sz w:val="23"/>
        </w:rPr>
        <w:t>2. The protected disclosures</w:t>
      </w:r>
    </w:p>
    <w:p>
      <w:pPr>
        <w:spacing w:after="120" w:before="0"/>
        <w:jc w:val="both"/>
      </w:pPr>
      <w:r>
        <w:rPr>
          <w:b w:val="0"/>
          <w:i w:val="0"/>
        </w:rPr>
        <w:t>2.1  It is admitted that between October and December 2024 the Claimant raised concerns, in writing, regarding the transcription of cure-cycle conformance data into the first-article certification pack for shipsets supplied to Caldera Mobility Systems plc. It is admitted that those communications were protected disclosures within the meaning of section 43A of the Employment Rights Act 1996.</w:t>
      </w:r>
    </w:p>
    <w:p>
      <w:pPr>
        <w:spacing w:after="120" w:before="0"/>
        <w:jc w:val="both"/>
      </w:pPr>
      <w:r>
        <w:rPr>
          <w:b w:val="0"/>
          <w:i w:val="0"/>
        </w:rPr>
        <w:t>2.2  The Respondent took the concerns seriously. It is averred that the Respondent promptly initiated an independent technical review of the affected evidence and quarantined the relevant shipsets pending its outcome, as a responsible manufacturer would. The Respondent denies that it acted, or failed to act, to the Claimant's detriment by reason of the disclosures.</w:t>
      </w:r>
    </w:p>
    <w:p>
      <w:pPr>
        <w:spacing w:before="120" w:after="100"/>
      </w:pPr>
      <w:r>
        <w:rPr>
          <w:b/>
          <w:sz w:val="23"/>
        </w:rPr>
        <w:t>3. The alleged detriments</w:t>
      </w:r>
    </w:p>
    <w:p>
      <w:pPr>
        <w:spacing w:after="120" w:before="0"/>
        <w:jc w:val="both"/>
      </w:pPr>
      <w:r>
        <w:rPr>
          <w:b w:val="0"/>
          <w:i w:val="0"/>
        </w:rPr>
        <w:t>3.1  It is denied that the Claimant was subjected to any detriment on the ground that she made a protected disclosure. In particular: (a) any change to the composition of the Caldera programme governance formed part of a pre-existing and genuine reorganisation of the quality assurance function approved by the Board in September 2024, before the disclosures; (b) the note of 8 January 2025 was a proportionate management response to specific, separate, conduct concerns and was not disciplinary in nature; and (c) the Claimant was at all times consulted about the proposed reorganisation.</w:t>
      </w:r>
    </w:p>
    <w:p>
      <w:pPr>
        <w:spacing w:after="120" w:before="0"/>
        <w:jc w:val="both"/>
      </w:pPr>
      <w:r>
        <w:rPr>
          <w:b w:val="0"/>
          <w:i w:val="0"/>
        </w:rPr>
        <w:t>3.2  If, which is denied, the Claimant suffered any detriment, it was not done on the prohibited ground but for a separate and legitimate reason.</w:t>
      </w:r>
    </w:p>
    <w:p>
      <w:pPr>
        <w:spacing w:before="120" w:after="100"/>
      </w:pPr>
      <w:r>
        <w:rPr>
          <w:b/>
          <w:sz w:val="23"/>
        </w:rPr>
        <w:t>4. Termination</w:t>
      </w:r>
    </w:p>
    <w:p>
      <w:pPr>
        <w:spacing w:after="120" w:before="0"/>
        <w:jc w:val="both"/>
      </w:pPr>
      <w:r>
        <w:rPr>
          <w:b w:val="0"/>
          <w:i w:val="0"/>
        </w:rPr>
        <w:t>4.1  The Claimant's employment terminated by mutual agreement and not by dismissal. Accordingly, no claim for unfair dismissal (whether under section 98 or section 103A of the Employment Rights Act 1996) arises.</w:t>
      </w:r>
    </w:p>
    <w:p>
      <w:pPr>
        <w:spacing w:before="120" w:after="100"/>
      </w:pPr>
      <w:r>
        <w:rPr>
          <w:b/>
          <w:sz w:val="23"/>
        </w:rPr>
        <w:t>5. Remedy</w:t>
      </w:r>
    </w:p>
    <w:p>
      <w:pPr>
        <w:spacing w:after="120" w:before="0"/>
        <w:jc w:val="both"/>
      </w:pPr>
      <w:r>
        <w:rPr>
          <w:b w:val="0"/>
          <w:i w:val="0"/>
        </w:rPr>
        <w:t>5.1  The Respondent does not admit that the Claimant has suffered any loss. If (contrary to the Respondent's case) any compensation is awarded, the Respondent will contend that the Claimant has failed to mitigate her loss and that any award should be reduced accordingly. The quantum set out in the Claimant's schedule of loss is not admitted and is excessive.</w:t>
      </w:r>
    </w:p>
    <w:p>
      <w:pPr>
        <w:spacing w:after="200" w:before="0"/>
        <w:jc w:val="both"/>
      </w:pPr>
      <w:r>
        <w:rPr>
          <w:b w:val="0"/>
          <w:i w:val="0"/>
        </w:rPr>
        <w:t>5.2  In the premises, the claim should be dismissed.</w:t>
      </w:r>
    </w:p>
    <w:p>
      <w:pPr>
        <w:spacing w:after="40" w:before="0"/>
      </w:pPr>
      <w:r>
        <w:rPr>
          <w:b/>
          <w:i w:val="0"/>
        </w:rPr>
        <w:t>Statement of truth</w:t>
      </w:r>
    </w:p>
    <w:p>
      <w:pPr>
        <w:spacing w:after="200" w:before="0"/>
        <w:jc w:val="both"/>
      </w:pPr>
      <w:r>
        <w:rPr>
          <w:b w:val="0"/>
          <w:i w:val="0"/>
        </w:rPr>
        <w:t>The Respondent believes that the facts stated in these Grounds of Resistance are true. The Respondent understands that proceedings for contempt of court may be brought against anyone who makes, or causes to be made, a false statement in a document verified by a statement of truth without an honest belief in its truth.</w:t>
      </w:r>
    </w:p>
    <w:p>
      <w:pPr>
        <w:spacing w:after="0" w:before="0"/>
      </w:pPr>
      <w:r>
        <w:rPr>
          <w:b w:val="0"/>
          <w:i w:val="0"/>
        </w:rPr>
        <w:t>Signed: ............................   James Osei</w:t>
      </w:r>
    </w:p>
    <w:p>
      <w:pPr>
        <w:spacing w:after="0" w:before="0"/>
      </w:pPr>
      <w:r>
        <w:rPr>
          <w:b w:val="0"/>
          <w:i w:val="0"/>
          <w:sz w:val="18"/>
        </w:rPr>
        <w:t>Whitfield Carter LLP, solicitors for the Respondent</w:t>
      </w:r>
    </w:p>
    <w:p>
      <w:pPr>
        <w:spacing w:after="0" w:before="0"/>
      </w:pPr>
      <w:r>
        <w:rPr>
          <w:b w:val="0"/>
          <w:i w:val="0"/>
          <w:sz w:val="18"/>
        </w:rPr>
        <w:t>Dated: [draft — not filed]</w:t>
      </w:r>
    </w:p>
    <w:sectPr w:rsidR="00FC693F" w:rsidRPr="0006063C" w:rsidSect="00034616">
      <w:pgSz w:w="12240" w:h="15840"/>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