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355"/>
          <w:sz w:val="36"/>
        </w:rPr>
        <w:t>Whitfield Carter LLP</w:t>
      </w:r>
    </w:p>
    <w:p>
      <w:pPr>
        <w:spacing w:after="40"/>
      </w:pPr>
      <w:r>
        <w:rPr>
          <w:color w:val="555555"/>
          <w:sz w:val="17"/>
        </w:rPr>
        <w:t>Solicitors  ·  22 Bishopsgate, London EC2N 4BQ  ·  +44 (0)20 7946 0211</w:t>
      </w:r>
    </w:p>
    <w:p>
      <w:pPr>
        <w:pBdr>
          <w:bottom w:val="single" w:sz="6" w:space="1" w:color="1F3355"/>
        </w:pBdr>
        <w:spacing w:after="160"/>
      </w:pPr>
    </w:p>
    <w:p>
      <w:pPr>
        <w:spacing w:after="160" w:before="0"/>
      </w:pPr>
      <w:r>
        <w:rPr>
          <w:b/>
          <w:i w:val="0"/>
        </w:rPr>
        <w:t>Private &amp; Confidential</w:t>
      </w:r>
    </w:p>
    <w:p>
      <w:pPr>
        <w:spacing w:after="0" w:before="0"/>
      </w:pPr>
      <w:r>
        <w:rPr>
          <w:b w:val="0"/>
          <w:i w:val="0"/>
        </w:rPr>
        <w:t>Mr Robert Falconer</w:t>
      </w:r>
    </w:p>
    <w:p>
      <w:pPr>
        <w:spacing w:after="0" w:before="0"/>
      </w:pPr>
      <w:r>
        <w:rPr>
          <w:b w:val="0"/>
          <w:i w:val="0"/>
        </w:rPr>
        <w:t>Chief Executive Officer</w:t>
      </w:r>
    </w:p>
    <w:p>
      <w:pPr>
        <w:spacing w:after="0" w:before="0"/>
      </w:pPr>
      <w:r>
        <w:rPr>
          <w:b w:val="0"/>
          <w:i w:val="0"/>
        </w:rPr>
        <w:t>Halstead Aerospace Limited</w:t>
      </w:r>
    </w:p>
    <w:p>
      <w:pPr>
        <w:spacing w:after="200" w:before="0"/>
      </w:pPr>
      <w:r>
        <w:rPr>
          <w:b w:val="0"/>
          <w:i w:val="0"/>
        </w:rPr>
        <w:t>Athena Park, Ridgeway Road, Bristol BS16 1QY</w:t>
      </w:r>
    </w:p>
    <w:p>
      <w:pPr>
        <w:spacing w:after="160" w:before="0"/>
      </w:pPr>
      <w:r>
        <w:rPr>
          <w:b w:val="0"/>
          <w:i w:val="0"/>
        </w:rPr>
        <w:t>16 January 2025</w:t>
      </w:r>
    </w:p>
    <w:p>
      <w:pPr>
        <w:spacing w:after="160" w:before="0"/>
      </w:pPr>
      <w:r>
        <w:rPr>
          <w:b w:val="0"/>
          <w:i w:val="0"/>
        </w:rPr>
        <w:t>Dear Robert</w:t>
      </w:r>
    </w:p>
    <w:p>
      <w:pPr>
        <w:spacing w:after="160" w:before="0"/>
      </w:pPr>
      <w:r>
        <w:rPr>
          <w:b/>
          <w:i w:val="0"/>
        </w:rPr>
        <w:t>ENGAGEMENT — DR PRIYA SAXENA GRIEVANCE AND POTENTIAL EXIT (OUR REF: WC-00146)</w:t>
      </w:r>
    </w:p>
    <w:p>
      <w:pPr>
        <w:spacing w:after="120" w:before="0"/>
        <w:jc w:val="both"/>
      </w:pPr>
      <w:r>
        <w:rPr>
          <w:b w:val="0"/>
          <w:i w:val="0"/>
        </w:rPr>
        <w:t>Thank you for instructing Whitfield Carter LLP in connection with the grievance raised on behalf of Dr Priya Saxena and the Company's options for resolving it. This letter, together with our enclosed Terms of Business, sets out the basis on which we will act.</w:t>
      </w:r>
    </w:p>
    <w:p>
      <w:pPr>
        <w:spacing w:before="120" w:after="100"/>
      </w:pPr>
      <w:r>
        <w:rPr>
          <w:b/>
          <w:sz w:val="23"/>
        </w:rPr>
        <w:t>Scope of work</w:t>
      </w:r>
    </w:p>
    <w:p>
      <w:pPr>
        <w:spacing w:after="120" w:before="0"/>
        <w:jc w:val="both"/>
      </w:pPr>
      <w:r>
        <w:rPr>
          <w:b w:val="0"/>
          <w:i w:val="0"/>
        </w:rPr>
        <w:t>Our instructions are to advise the Company on the merits of Dr Saxena's whistleblowing grievance and any associated claims, to advise on and conduct a protected conversation under section 111A of the Employment Rights Act 1996, and to draft and negotiate a settlement agreement on the Company's behalf. The conduct of the separate technical review of the underlying quality concern is outside the scope of this engagement, although we will liaise with those conducting it as necessary.</w:t>
      </w:r>
    </w:p>
    <w:p>
      <w:pPr>
        <w:spacing w:before="120" w:after="100"/>
      </w:pPr>
      <w:r>
        <w:rPr>
          <w:b/>
          <w:sz w:val="23"/>
        </w:rPr>
        <w:t>Team and responsibility</w:t>
      </w:r>
    </w:p>
    <w:p>
      <w:pPr>
        <w:spacing w:after="120" w:before="0"/>
        <w:jc w:val="both"/>
      </w:pPr>
      <w:r>
        <w:rPr>
          <w:b w:val="0"/>
          <w:i w:val="0"/>
        </w:rPr>
        <w:t>The matter will be led by Sarah Whitfield (Partner), supported by James Osei (Senior Associate), who will have day-to-day conduct. Tom Gallagher (Associate) will assist as required.</w:t>
      </w:r>
    </w:p>
    <w:p>
      <w:pPr>
        <w:spacing w:before="120" w:after="100"/>
      </w:pPr>
      <w:r>
        <w:rPr>
          <w:b/>
          <w:sz w:val="23"/>
        </w:rPr>
        <w:t>Fees</w:t>
      </w:r>
    </w:p>
    <w:p>
      <w:pPr>
        <w:spacing w:after="120" w:before="0"/>
        <w:jc w:val="both"/>
      </w:pPr>
      <w:r>
        <w:rPr>
          <w:b w:val="0"/>
          <w:i w:val="0"/>
        </w:rPr>
        <w:t>Our work will be charged on a time basis at the following hourly rates (exclusive of VAT): Partner £620; Senior Associate £445; Associate £325. We estimate our fees for advising on the grievance and negotiating a settlement agreement to completion at between £18,000 and £26,000 plus VAT and disbursements, on the assumption that matters are resolved without Tribunal proceedings. We will notify you promptly if it appears the estimate will be exceeded.</w:t>
      </w:r>
    </w:p>
    <w:p>
      <w:pPr>
        <w:spacing w:before="120" w:after="100"/>
      </w:pPr>
      <w:r>
        <w:rPr>
          <w:b/>
          <w:sz w:val="23"/>
        </w:rPr>
        <w:t>Confidentiality and privilege</w:t>
      </w:r>
    </w:p>
    <w:p>
      <w:pPr>
        <w:spacing w:after="120" w:before="0"/>
        <w:jc w:val="both"/>
      </w:pPr>
      <w:r>
        <w:rPr>
          <w:b w:val="0"/>
          <w:i w:val="0"/>
        </w:rPr>
        <w:t>Our advice is confidential to the Company and protected by legal professional privilege. Privilege may be lost if our advice is shared outside the Board, and we ask that it be circulated only to those who need to see it.</w:t>
      </w:r>
    </w:p>
    <w:p>
      <w:pPr>
        <w:spacing w:after="200" w:before="0"/>
        <w:jc w:val="both"/>
      </w:pPr>
      <w:r>
        <w:rPr>
          <w:b w:val="0"/>
          <w:i w:val="0"/>
        </w:rPr>
        <w:t>Please countersign and return the enclosed copy of this letter to confirm your agreement to these terms. We are grateful for the instruction and look forward to assisting the Company.</w:t>
      </w:r>
    </w:p>
    <w:p>
      <w:pPr>
        <w:spacing w:after="280" w:before="0"/>
      </w:pPr>
      <w:r>
        <w:rPr>
          <w:b w:val="0"/>
          <w:i w:val="0"/>
        </w:rPr>
        <w:t>Yours sincerely</w:t>
      </w:r>
    </w:p>
    <w:p>
      <w:pPr>
        <w:spacing w:after="0" w:before="0"/>
      </w:pPr>
      <w:r>
        <w:rPr>
          <w:b/>
          <w:i w:val="0"/>
        </w:rPr>
        <w:t>Sarah Whitfield</w:t>
      </w:r>
    </w:p>
    <w:p>
      <w:pPr>
        <w:spacing w:after="0" w:before="0"/>
      </w:pPr>
      <w:r>
        <w:rPr>
          <w:b w:val="0"/>
          <w:i w:val="0"/>
        </w:rPr>
        <w:t>Partner, Employment</w:t>
      </w:r>
    </w:p>
    <w:p>
      <w:pPr>
        <w:spacing w:after="160" w:before="0"/>
      </w:pPr>
      <w:r>
        <w:rPr>
          <w:b w:val="0"/>
          <w:i w:val="0"/>
        </w:rPr>
        <w:t>for and on behalf of Whitfield Carter LLP</w:t>
      </w:r>
    </w:p>
    <w:p>
      <w:pPr>
        <w:spacing w:before="280"/>
      </w:pPr>
      <w:r>
        <w:rPr>
          <w:i/>
          <w:color w:val="777777"/>
          <w:sz w:val="15"/>
        </w:rPr>
        <w:t>Whitfield Carter LLP is a limited liability partnership registered in England and Wales (OC# 412207). A list of members is available at the registered office, 22 Bishopsgate, London EC2N 4BQ. Authorised and regulated by the Solicitors Regulation Authority (SRA# 619204). This communication is confidential and may be legally privileged.</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