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32"/>
        </w:rPr>
        <w:t>DRUMMOND HALE LLP</w:t>
      </w:r>
    </w:p>
    <w:p>
      <w:pPr>
        <w:spacing w:after="200" w:before="0"/>
        <w:jc w:val="center"/>
      </w:pPr>
      <w:r>
        <w:rPr>
          <w:b w:val="0"/>
          <w:i w:val="0"/>
          <w:sz w:val="17"/>
        </w:rPr>
        <w:t>Solicitors  ·  41 Corn Street, Bristol BS1 1HT  ·  +44 (0)117 925 0044</w:t>
      </w:r>
    </w:p>
    <w:p>
      <w:pPr>
        <w:spacing w:after="160" w:before="0"/>
      </w:pPr>
      <w:r>
        <w:rPr>
          <w:b/>
          <w:i w:val="0"/>
        </w:rPr>
        <w:t>Strictly Private &amp; Confidential</w:t>
      </w:r>
    </w:p>
    <w:p>
      <w:pPr>
        <w:spacing w:after="0" w:before="0"/>
      </w:pPr>
      <w:r>
        <w:rPr>
          <w:b w:val="0"/>
          <w:i w:val="0"/>
        </w:rPr>
        <w:t>The Board of Directors</w:t>
      </w:r>
    </w:p>
    <w:p>
      <w:pPr>
        <w:spacing w:after="0" w:before="0"/>
      </w:pPr>
      <w:r>
        <w:rPr>
          <w:b w:val="0"/>
          <w:i w:val="0"/>
        </w:rPr>
        <w:t>Halstead Aerospace Limited</w:t>
      </w:r>
    </w:p>
    <w:p>
      <w:pPr>
        <w:spacing w:after="0" w:before="0"/>
      </w:pPr>
      <w:r>
        <w:rPr>
          <w:b w:val="0"/>
          <w:i w:val="0"/>
        </w:rPr>
        <w:t>Athena Park, Ridgeway Road</w:t>
      </w:r>
    </w:p>
    <w:p>
      <w:pPr>
        <w:spacing w:after="200" w:before="0"/>
      </w:pPr>
      <w:r>
        <w:rPr>
          <w:b w:val="0"/>
          <w:i w:val="0"/>
        </w:rPr>
        <w:t>Bristol BS16 1QY</w:t>
      </w:r>
    </w:p>
    <w:p>
      <w:pPr>
        <w:spacing w:after="160" w:before="0"/>
      </w:pPr>
      <w:r>
        <w:rPr>
          <w:b/>
          <w:i w:val="0"/>
        </w:rPr>
        <w:t>FAO: Mr Robert Falconer, Chief Executive Officer</w:t>
      </w:r>
    </w:p>
    <w:p>
      <w:pPr>
        <w:spacing w:after="200" w:before="0"/>
      </w:pPr>
      <w:r>
        <w:rPr>
          <w:b w:val="0"/>
          <w:i w:val="0"/>
        </w:rPr>
        <w:t>14 January 2025</w:t>
      </w:r>
    </w:p>
    <w:p>
      <w:pPr>
        <w:spacing w:after="160" w:before="0"/>
      </w:pPr>
      <w:r>
        <w:rPr>
          <w:b w:val="0"/>
          <w:i w:val="0"/>
        </w:rPr>
        <w:t>Dear Sirs</w:t>
      </w:r>
    </w:p>
    <w:p>
      <w:pPr>
        <w:spacing w:after="160" w:before="0"/>
      </w:pPr>
      <w:r>
        <w:rPr>
          <w:b/>
          <w:i w:val="0"/>
        </w:rPr>
        <w:t>FORMAL GRIEVANCE — DR PRIYA SAXENA, DIRECTOR OF QUALITY</w:t>
      </w:r>
    </w:p>
    <w:p>
      <w:pPr>
        <w:spacing w:after="120" w:before="0"/>
        <w:jc w:val="both"/>
      </w:pPr>
      <w:r>
        <w:rPr>
          <w:b w:val="0"/>
          <w:i w:val="0"/>
        </w:rPr>
        <w:t>We act for Dr Priya Saxena, your Director of Quality. We are instructed to raise a formal grievance on her behalf under the Company's Grievance Procedure and to put the Company on notice of the matters set out below.</w:t>
      </w:r>
    </w:p>
    <w:p>
      <w:pPr>
        <w:spacing w:after="80" w:before="0"/>
      </w:pPr>
      <w:r>
        <w:rPr>
          <w:b/>
          <w:i w:val="0"/>
        </w:rPr>
        <w:t>1. Background</w:t>
      </w:r>
    </w:p>
    <w:p>
      <w:pPr>
        <w:spacing w:after="120" w:before="0"/>
        <w:jc w:val="both"/>
      </w:pPr>
      <w:r>
        <w:rPr>
          <w:b w:val="0"/>
          <w:i w:val="0"/>
        </w:rPr>
        <w:t>Dr Saxena has been employed by the Company since 1 April 2019 and has at all times discharged her responsibilities for the integrity of the Company's quality management system to the highest professional standard. She holds ultimate responsibility for AS9100 certification and for the Company's non-conformance and concession reporting.</w:t>
      </w:r>
    </w:p>
    <w:p>
      <w:pPr>
        <w:spacing w:after="80" w:before="0"/>
      </w:pPr>
      <w:r>
        <w:rPr>
          <w:b/>
          <w:i w:val="0"/>
        </w:rPr>
        <w:t>2. The protected disclosures</w:t>
      </w:r>
    </w:p>
    <w:p>
      <w:pPr>
        <w:spacing w:after="120" w:before="0"/>
        <w:jc w:val="both"/>
      </w:pPr>
      <w:r>
        <w:rPr>
          <w:b w:val="0"/>
          <w:i w:val="0"/>
        </w:rPr>
        <w:t>Between September and December 2024, in the course of preparing first-article inspection evidence for the CMS-1 Skylark composite shipsets supplied to Caldera Mobility Systems plc, Dr Saxena identified that cure-cycle conformance data for a number of autoclave runs had been transcribed into the certification pack in a manner that did not accurately reflect the recorded process temperatures. She raised her concerns in writing to the Operations Director, Ms Helen Forsythe, on 2 October 2024, 28 October 2024 and again on 9 December 2024, stating in terms that release of the affected shipsets on the existing evidence would, in her professional opinion, breach the Company's Part 21 obligations and present a potential airworthiness concern. Each of those disclosures was a 'qualifying disclosure' within section 43B of the Employment Rights Act 1996, made in the public interest, and was a 'protected disclosure' within the meaning of that Act.</w:t>
      </w:r>
    </w:p>
    <w:p>
      <w:pPr>
        <w:spacing w:after="80" w:before="0"/>
      </w:pPr>
      <w:r>
        <w:rPr>
          <w:b/>
          <w:i w:val="0"/>
        </w:rPr>
        <w:t>3. The detriment</w:t>
      </w:r>
    </w:p>
    <w:p>
      <w:pPr>
        <w:spacing w:after="120" w:before="0"/>
        <w:jc w:val="both"/>
      </w:pPr>
      <w:r>
        <w:rPr>
          <w:b w:val="0"/>
          <w:i w:val="0"/>
        </w:rPr>
        <w:t>Following those disclosures, and in our client's contention because of them, Dr Saxena was: (a) excluded from the Caldera programme review meetings she had previously chaired; (b) removed from the distribution list for the certification pack; (c) issued with an unwarranted note of concern about her 'working relationships' on 8 January 2025; and (d) informed that her role was 'under review' as part of a purported restructuring of the quality function. These acts constitute detriments done on the ground that she made protected disclosures, contrary to section 47B of the Employment Rights Act 1996.</w:t>
      </w:r>
    </w:p>
    <w:p>
      <w:pPr>
        <w:spacing w:after="80" w:before="0"/>
      </w:pPr>
      <w:r>
        <w:rPr>
          <w:b/>
          <w:i w:val="0"/>
        </w:rPr>
        <w:t>4. Resolution sought</w:t>
      </w:r>
    </w:p>
    <w:p>
      <w:pPr>
        <w:spacing w:after="120" w:before="0"/>
        <w:jc w:val="both"/>
      </w:pPr>
      <w:r>
        <w:rPr>
          <w:b w:val="0"/>
          <w:i w:val="0"/>
        </w:rPr>
        <w:t>Dr Saxena requires: a full and impartial investigation of the underlying quality concern by a person independent of the Operations function; her immediate reinstatement to the Caldera programme governance; withdrawal of the note of concern; and written confirmation that no action will be taken against her by reason of her disclosures. She reserves all of her rights, including the right to bring proceedings in the Employment Tribunal for detriment and (if it comes to it) automatically unfair dismissal, for which no qualifying period of service is required and no statutory cap on compensation applies.</w:t>
      </w:r>
    </w:p>
    <w:p>
      <w:pPr>
        <w:spacing w:after="200" w:before="0"/>
        <w:jc w:val="both"/>
      </w:pPr>
      <w:r>
        <w:rPr>
          <w:b w:val="0"/>
          <w:i w:val="0"/>
        </w:rPr>
        <w:t>We should be grateful if you would acknowledge this grievance within five working days and confirm the date of a grievance hearing. This letter is sent openly.</w:t>
      </w:r>
    </w:p>
    <w:p>
      <w:pPr>
        <w:spacing w:after="280" w:before="0"/>
      </w:pPr>
      <w:r>
        <w:rPr>
          <w:b w:val="0"/>
          <w:i w:val="0"/>
        </w:rPr>
        <w:t>Yours faithfully</w:t>
      </w:r>
    </w:p>
    <w:p>
      <w:pPr>
        <w:spacing w:after="40" w:before="0"/>
      </w:pPr>
      <w:r>
        <w:rPr>
          <w:b/>
          <w:i w:val="0"/>
        </w:rPr>
        <w:t>Drummond Hale LLP</w:t>
      </w:r>
    </w:p>
    <w:p>
      <w:pPr>
        <w:spacing w:after="0" w:before="0"/>
      </w:pPr>
      <w:r>
        <w:rPr>
          <w:b w:val="0"/>
          <w:i w:val="0"/>
        </w:rPr>
        <w:t>Olivia Marsh, Partner — Employment</w:t>
      </w:r>
    </w:p>
    <w:p>
      <w:pPr>
        <w:spacing w:after="0" w:before="0"/>
      </w:pPr>
      <w:r>
        <w:rPr>
          <w:b w:val="0"/>
          <w:i w:val="0"/>
          <w:sz w:val="18"/>
        </w:rPr>
        <w:t>olivia.marsh@drummondhale.com</w:t>
      </w:r>
    </w:p>
    <w:sectPr w:rsidR="00FC693F" w:rsidRPr="0006063C" w:rsidSect="00034616">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