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 xml:space="preserve">PROJECT TAMARISK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Signing and Completion Checklist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Prepared by Whitfield Carter LLP — as at 9 December 2025</w:t>
      </w:r>
    </w:p>
    <w:p>
      <w:pPr>
        <w:spacing w:after="120"/>
      </w:pPr>
      <w:r>
        <w:t xml:space="preserve">Transaction: exclusive patent and technology licence of the Halverson HX-7 platform by Halverson Materials Limited (Licensor) to Northstar Cell Technologies plc (Licensee). Target signing: 11 December 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2000"/>
        <w:gridCol w:w="1660"/>
        <w:gridCol w:w="1500"/>
      </w:tblGrid>
      <w:tr>
        <w:trPr>
          <w:tblHeader/>
        </w:trP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16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Delivery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Patent and Technology Licence Agreement (execution version)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WC</w:t>
            </w:r>
          </w:p>
        </w:tc>
        <w:tc>
          <w:tcPr>
            <w:tcW w:type="dxa" w:w="16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Agreed — for signing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Disclosure Letter and Disclosure Bundle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WC / Birchall Stone</w:t>
            </w:r>
          </w:p>
        </w:tc>
        <w:tc>
          <w:tcPr>
            <w:tcW w:type="dxa" w:w="16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Agreed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Licensor → Licensee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Schedule of Licensed Patents (Schedule 1)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Hartington IP</w:t>
            </w:r>
          </w:p>
        </w:tc>
        <w:tc>
          <w:tcPr>
            <w:tcW w:type="dxa" w:w="16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Final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Technology-transfer plan (Schedule 3)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Licensor</w:t>
            </w:r>
          </w:p>
        </w:tc>
        <w:tc>
          <w:tcPr>
            <w:tcW w:type="dxa" w:w="16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Final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Halverson board minutes approving the Licence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WC</w:t>
            </w:r>
          </w:p>
        </w:tc>
        <w:tc>
          <w:tcPr>
            <w:tcW w:type="dxa" w:w="16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Signed 8 Dec 2025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Licensor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Northstar board / committee approval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Birchall Stone</w:t>
            </w:r>
          </w:p>
        </w:tc>
        <w:tc>
          <w:tcPr>
            <w:tcW w:type="dxa" w:w="16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Confirmed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Licensee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Certified copy of Licensor's certificate of incorporation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Licensor</w:t>
            </w:r>
          </w:p>
        </w:tc>
        <w:tc>
          <w:tcPr>
            <w:tcW w:type="dxa" w:w="16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Provided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Licensee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Director's certificate (authority to execute)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WC</w:t>
            </w:r>
          </w:p>
        </w:tc>
        <w:tc>
          <w:tcPr>
            <w:tcW w:type="dxa" w:w="16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For signing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First invoice for the Upfront Fee (£4,500,000)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Licensor</w:t>
            </w:r>
          </w:p>
        </w:tc>
        <w:tc>
          <w:tcPr>
            <w:tcW w:type="dxa" w:w="16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To follow completion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Licensor → Licensee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3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Funds-flow / payment instructions for the Upfront Fee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WC</w:t>
            </w:r>
          </w:p>
        </w:tc>
        <w:tc>
          <w:tcPr>
            <w:tcW w:type="dxa" w:w="16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Agreed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Both</w:t>
            </w:r>
          </w:p>
        </w:tc>
      </w:tr>
    </w:tbl>
    <w:p>
      <w:pPr>
        <w:spacing w:after="80" w:before="200"/>
        <w:rPr>
          <w:b/>
          <w:bCs/>
        </w:rPr>
      </w:pPr>
      <w:r>
        <w:rPr>
          <w:b/>
          <w:bCs/>
        </w:rPr>
        <w:t xml:space="preserve">Completion 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Exchange signature pages by email (PDF) with originals to follow by post.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WC to release signature pages on confirmation from both parties that all conditions are satisfied.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Licensor to issue the Upfront Fee invoice; Licensee to pay within 30 days per clause 6.1.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WC to circulate a completion bible within 10 business days of completion.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2"/>
      </w:pBdr>
      <w:spacing w:after="0" w:before="40"/>
    </w:pPr>
    <w:r>
      <w:rPr>
        <w:color w:val="808080"/>
        <w:sz w:val="13"/>
        <w:szCs w:val="13"/>
      </w:rPr>
      <w:t xml:space="preserve">Whitfield Carter LLP is a limited liability partnership registered in England and Wales (registered number OC399214). A list of members is available at the registered office. Authorised and regulated by the Solicitors Regulation Authority. This communication is confidential and may be legally privileged.</w:t>
    </w:r>
  </w:p>
  <w:p>
    <w:pPr>
      <w:jc w:val="right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b/>
        <w:bCs/>
        <w:color w:val="1F3864"/>
        <w:sz w:val="26"/>
        <w:szCs w:val="26"/>
      </w:rPr>
      <w:t xml:space="preserve">Whitfield Carter LLP</w:t>
    </w:r>
  </w:p>
  <w:p>
    <w:pPr>
      <w:spacing w:after="40"/>
    </w:pPr>
    <w:r>
      <w:rPr>
        <w:color w:val="808080"/>
        <w:sz w:val="15"/>
        <w:szCs w:val="15"/>
      </w:rPr>
      <w:t xml:space="preserve">Solicitors</w:t>
    </w:r>
  </w:p>
  <w:p>
    <w:pPr>
      <w:pBdr>
        <w:bottom w:val="single" w:color="1F3864" w:sz="8" w:space="2"/>
      </w:pBdr>
      <w:spacing w:after="40"/>
    </w:pPr>
    <w:r>
      <w:rPr>
        <w:color w:val="808080"/>
        <w:sz w:val="14"/>
        <w:szCs w:val="14"/>
      </w:rPr>
      <w:t xml:space="preserve">22 Bishopsgate, London EC2N 4BQ   |   +44 (0)20 7946 1200   |   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2026-06-28T19:48:30.760Z</dcterms:created>
  <dcterms:modified xsi:type="dcterms:W3CDTF">2026-06-28T19:48:30.760Z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