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sz w:val="18"/>
          <w:szCs w:val="18"/>
        </w:rPr>
        <w:t xml:space="preserve">Our ref: SW/JO/Tamarisk/0142</w:t>
      </w:r>
    </w:p>
    <w:p>
      <w:pPr>
        <w:spacing w:after="120"/>
      </w:pPr>
      <w:r>
        <w:t xml:space="preserve">11 December 2025</w:t>
      </w:r>
    </w:p>
    <w:p>
      <w:pPr>
        <w:spacing w:after="0"/>
      </w:pPr>
      <w:r>
        <w:t xml:space="preserve">Northstar Cell Technologies plc</w:t>
      </w:r>
    </w:p>
    <w:p>
      <w:pPr>
        <w:spacing w:after="120"/>
      </w:pPr>
      <w:r>
        <w:t xml:space="preserve">Pioneer House, Advanced Manufacturing Park, Brunel Way, Rotherham S60 5WG</w:t>
      </w:r>
    </w:p>
    <w:p>
      <w:pPr>
        <w:spacing w:after="120"/>
      </w:pPr>
      <w:r>
        <w:t xml:space="preserve">Dear Sirs</w:t>
      </w:r>
    </w:p>
    <w:p>
      <w:pPr>
        <w:spacing w:after="120"/>
      </w:pPr>
      <w:r>
        <w:rPr>
          <w:b/>
          <w:bCs/>
        </w:rPr>
        <w:t xml:space="preserve">Project Tamarisk — Disclosure Letter</w:t>
      </w:r>
    </w:p>
    <w:p>
      <w:pPr>
        <w:spacing w:after="120"/>
      </w:pPr>
      <w:r>
        <w:t xml:space="preserve">This is the Disclosure Letter referred to in the Patent and Technology Licence Agreement of today's date between Halverson Materials Limited (the “Licensor”) and Northstar Cell Technologies plc (the “Licensee”) (the “Licence”). Words and expressions defined in the Licence have the same meaning in this letter.</w:t>
      </w:r>
    </w:p>
    <w:p>
      <w:pPr>
        <w:pStyle w:val="Heading2"/>
      </w:pPr>
      <w:r>
        <w:t xml:space="preserve">1.  General</w:t>
      </w:r>
    </w:p>
    <w:p>
      <w:pPr>
        <w:spacing w:after="120"/>
      </w:pPr>
      <w:r>
        <w:t xml:space="preserve">The Warranties in clause 8.1 of the Licence are given subject to the matters fairly disclosed in this letter and the documents in the Disclosure Bundle. The Licensee shall not be entitled to claim that any fact, matter or circumstance disclosed in this letter constitutes a breach of the Warranties.</w:t>
      </w:r>
    </w:p>
    <w:p>
      <w:pPr>
        <w:pStyle w:val="Heading2"/>
      </w:pPr>
      <w:r>
        <w:t xml:space="preserve">2.  Specific disclosures</w:t>
      </w:r>
    </w:p>
    <w:p>
      <w:pPr>
        <w:pStyle w:val="ListParagraph"/>
        <w:numPr>
          <w:ilvl w:val="0"/>
          <w:numId w:val="2"/>
        </w:numPr>
        <w:spacing w:after="100"/>
      </w:pPr>
      <w:r>
        <w:t xml:space="preserve">Clause 8.1(a) (ownership). The assignment of GB 2 591 044 B from the inventors to the Licensor was recorded at the UK Intellectual Property Office on 3 December 2025; a copy of the recordal confirmation is at tab 4 of the Disclosure Bundle.</w:t>
      </w:r>
    </w:p>
    <w:p>
      <w:pPr>
        <w:pStyle w:val="ListParagraph"/>
        <w:numPr>
          <w:ilvl w:val="0"/>
          <w:numId w:val="2"/>
        </w:numPr>
        <w:spacing w:after="100"/>
      </w:pPr>
      <w:r>
        <w:t xml:space="preserve">Clause 8.1(b) (validity). Examination of EP4 015 887 A1 is ongoing. The European Patent Office issued a communication under Article 94(3) EPC on 14 July 2025 raising objections of inventive step over US 2018/0145 (“Kato”); the Licensor's response was filed on 10 October 2025 and remains pending. This application is therefore disclosed as not granted.</w:t>
      </w:r>
    </w:p>
    <w:p>
      <w:pPr>
        <w:pStyle w:val="ListParagraph"/>
        <w:numPr>
          <w:ilvl w:val="0"/>
          <w:numId w:val="2"/>
        </w:numPr>
        <w:spacing w:after="100"/>
      </w:pPr>
      <w:r>
        <w:t xml:space="preserve">Clause 8.1(c) (conflicting licences). By a licence dated 5 February 2024 the Licensor granted to Yangtze Solid-State Materials Co. Ltd a non-exclusive licence of the composition family (EP3 842 119 and equivalents) limited to the territory of the People's Republic of China. China is excluded from the Territory under the Licence and the two grants do not conflict.</w:t>
      </w:r>
    </w:p>
    <w:p>
      <w:pPr>
        <w:pStyle w:val="ListParagraph"/>
        <w:numPr>
          <w:ilvl w:val="0"/>
          <w:numId w:val="2"/>
        </w:numPr>
        <w:spacing w:after="100"/>
      </w:pPr>
      <w:r>
        <w:t xml:space="preserve">Clause 8.1(d) (non-infringement). The freedom-to-operate note prepared by Hartington IP dated 30 September 2025 (tab 7) identifies two third-party patents (EP2 998 311 and US 10,727,510) of potential relevance to sulphide-electrolyte processing. Hartington IP's opinion is that the HX-7 composition and process do not infringe a valid claim of either patent, but the Licensee's attention is drawn to them.</w:t>
      </w:r>
    </w:p>
    <w:p>
      <w:pPr>
        <w:pStyle w:val="ListParagraph"/>
        <w:numPr>
          <w:ilvl w:val="0"/>
          <w:numId w:val="2"/>
        </w:numPr>
        <w:spacing w:after="100"/>
      </w:pPr>
      <w:r>
        <w:t xml:space="preserve">Renewals. All renewal fees in respect of the granted Licensed Patents have been paid up to and including the anniversaries falling in 2025. The next renewals fall due between January and August 2026 as set out in the Schedule of Licensed Patents.</w:t>
      </w:r>
    </w:p>
    <w:p>
      <w:pPr>
        <w:pStyle w:val="Heading2"/>
      </w:pPr>
      <w:r>
        <w:t xml:space="preserve">3.  Disclosure Bundle</w:t>
      </w:r>
    </w:p>
    <w:p>
      <w:pPr>
        <w:spacing w:after="120"/>
      </w:pPr>
      <w:r>
        <w:t xml:space="preserve">The Disclosure Bundle comprises the documents listed in the index at the front of the bundle, copies of which have been delivered to the Licensee's solicitors, Birchall Stone LLP, on or before the date of this letter.</w:t>
      </w:r>
    </w:p>
    <w:p>
      <w:pPr>
        <w:spacing w:after="120" w:before="160"/>
      </w:pPr>
      <w:r>
        <w:t xml:space="preserve">Yours faithfully</w:t>
      </w:r>
    </w:p>
    <w:p>
      <w:pPr>
        <w:spacing w:after="0"/>
      </w:pPr>
      <w:r>
        <w:t xml:space="preserve">Whitfield Carter LLP</w:t>
      </w:r>
    </w:p>
    <w:p>
      <w:pPr>
        <w:spacing w:after="0"/>
      </w:pPr>
      <w:r>
        <w:t xml:space="preserve">for and on behalf of Halverson Materials Limited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spacing w:after="0" w:before="40"/>
    </w:pPr>
    <w:r>
      <w:rPr>
        <w:color w:val="808080"/>
        <w:sz w:val="13"/>
        <w:szCs w:val="13"/>
      </w:rPr>
      <w:t xml:space="preserve">Whitfield Carter LLP is a limited liability partnership registered in England and Wales (registered number OC399214). A list of members is available at the registered office. Authorised and regulated by the Solicitors Regulation Authority. This communication is confidential and may be legally privileged.</w:t>
    </w:r>
  </w:p>
  <w:p>
    <w:pPr>
      <w:jc w:val="right"/>
    </w:pPr>
    <w:r>
      <w:rPr>
        <w:sz w:val="14"/>
        <w:szCs w:val="14"/>
      </w:rPr>
      <w:t xml:space="preserve">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color w:val="1F3864"/>
        <w:sz w:val="26"/>
        <w:szCs w:val="26"/>
      </w:rPr>
      <w:t xml:space="preserve">Whitfield Carter LLP</w:t>
    </w:r>
  </w:p>
  <w:p>
    <w:pPr>
      <w:spacing w:after="40"/>
    </w:pPr>
    <w:r>
      <w:rPr>
        <w:color w:val="808080"/>
        <w:sz w:val="15"/>
        <w:szCs w:val="15"/>
      </w:rPr>
      <w:t xml:space="preserve">Solicitors</w:t>
    </w:r>
  </w:p>
  <w:p>
    <w:pPr>
      <w:pBdr>
        <w:bottom w:val="single" w:color="1F3864" w:sz="8" w:space="2"/>
      </w:pBdr>
      <w:spacing w:after="40"/>
    </w:pPr>
    <w:r>
      <w:rPr>
        <w:color w:val="808080"/>
        <w:sz w:val="14"/>
        <w:szCs w:val="14"/>
      </w:rPr>
      <w:t xml:space="preserve">22 Bishopsgate, London EC2N 4BQ   |   +44 (0)20 7946 1200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60" w:before="16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2026-06-28T19:49:19.403Z</dcterms:created>
  <dcterms:modified xsi:type="dcterms:W3CDTF">2026-06-28T19:49:19.403Z</dcterms:modified>
</cp:coreProperties>
</file>

<file path=docProps/custom.xml><?xml version="1.0" encoding="utf-8"?>
<Properties xmlns="http://schemas.openxmlformats.org/officeDocument/2006/custom-properties" xmlns:vt="http://schemas.openxmlformats.org/officeDocument/2006/docPropsVTypes"/>
</file>