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right"/>
      </w:pPr>
      <w:r>
        <w:rPr>
          <w:sz w:val="18"/>
          <w:szCs w:val="18"/>
        </w:rPr>
        <w:t xml:space="preserve">Our ref: SW/JO/Tamarisk/0142</w:t>
      </w:r>
    </w:p>
    <w:p>
      <w:pPr>
        <w:spacing w:after="120"/>
      </w:pPr>
      <w:r>
        <w:t xml:space="preserve">12 September 2025</w:t>
      </w:r>
    </w:p>
    <w:p>
      <w:pPr>
        <w:spacing w:after="0"/>
      </w:pPr>
      <w:r>
        <w:t xml:space="preserve">Dr Anders Halverson</w:t>
      </w:r>
    </w:p>
    <w:p>
      <w:pPr>
        <w:spacing w:after="0"/>
      </w:pPr>
      <w:r>
        <w:t xml:space="preserve">Chief Executive Officer</w:t>
      </w:r>
    </w:p>
    <w:p>
      <w:pPr>
        <w:spacing w:after="0"/>
      </w:pPr>
      <w:r>
        <w:t xml:space="preserve">Halverson Materials Limited</w:t>
      </w:r>
    </w:p>
    <w:p>
      <w:pPr>
        <w:spacing w:after="120"/>
      </w:pPr>
      <w:r>
        <w:t xml:space="preserve">Unit 7, Daresbury Innovation Park, Keckwick Lane, Warrington WA4 4FS</w:t>
      </w:r>
    </w:p>
    <w:p>
      <w:pPr>
        <w:spacing w:after="120"/>
      </w:pPr>
      <w:r>
        <w:t xml:space="preserve">Dear Dr Halverson</w:t>
      </w:r>
    </w:p>
    <w:p>
      <w:pPr>
        <w:spacing w:after="120"/>
      </w:pPr>
      <w:r>
        <w:rPr>
          <w:b/>
          <w:bCs/>
        </w:rPr>
        <w:t xml:space="preserve">Engagement: Project Tamarisk — licensing of the HX-7 technology to Northstar Cell Technologies plc</w:t>
      </w:r>
    </w:p>
    <w:p>
      <w:pPr>
        <w:spacing w:after="120"/>
      </w:pPr>
      <w:r>
        <w:t xml:space="preserve">Thank you for instructing Whitfield Carter LLP in connection with the proposed licensing of your HX-7 sulphide solid-electrolyte technology to Northstar Cell Technologies plc. We are delighted to act for Halverson Materials Limited on this matter. This letter, together with our enclosed standard terms of business, sets out the basis on which we will act.</w:t>
      </w:r>
    </w:p>
    <w:p>
      <w:pPr>
        <w:pStyle w:val="Heading2"/>
      </w:pPr>
      <w:r>
        <w:t xml:space="preserve">1.  Scope of work</w:t>
      </w:r>
    </w:p>
    <w:p>
      <w:pPr>
        <w:spacing w:after="120"/>
      </w:pPr>
      <w:r>
        <w:t xml:space="preserve">Our work will comprise: (a) advising on and negotiating the non-disclosure agreement and term sheet; (b) drafting and negotiating the Patent and Technology Licence Agreement and ancillary documents; (c) co-ordinating intellectual-property due diligence with your patent attorneys, Hartington IP; (d) advising on the disclosure exercise; and (e) assisting with signing and completion. Any tax structuring advice and patent-prosecution work fall outside this engagement and would be the subject of separate arrangements.</w:t>
      </w:r>
    </w:p>
    <w:p>
      <w:pPr>
        <w:pStyle w:val="Heading2"/>
      </w:pPr>
      <w:r>
        <w:t xml:space="preserve">2.  Our team</w:t>
      </w:r>
    </w:p>
    <w:p>
      <w:pPr>
        <w:spacing w:after="120"/>
      </w:pPr>
      <w:r>
        <w:t xml:space="preserve">The matter will be led by Sarah Whitfield (Partner), supported by James Osei (Senior Associate) and Elena Marchetti (Associate). Sarah will have overall responsibility for the matter and will be your principal point of contact.</w:t>
      </w:r>
    </w:p>
    <w:p>
      <w:pPr>
        <w:pStyle w:val="Heading2"/>
      </w:pPr>
      <w:r>
        <w:t xml:space="preserve">3.  Fees</w:t>
      </w:r>
    </w:p>
    <w:p>
      <w:pPr>
        <w:spacing w:after="120"/>
      </w:pPr>
      <w:r>
        <w:t xml:space="preserve">Our fees are based on the time spent at the hourly rates set out below, exclusive of VAT and disbursements. We currently estimate our fees for the work described in paragraph 1 at between £55,000 and £75,000 plus VAT and disbursements, although this is an estimate only and not a fixed quote. We will keep you informed if it appears the estimate will be exceeded.</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4200"/>
        <w:gridCol w:w="1800"/>
      </w:tblGrid>
      <w:tr>
        <w:tc>
          <w:tcPr>
            <w:tcW w:type="dxa" w:w="4200"/>
            <w:tcBorders>
              <w:top w:val="single" w:color="999999" w:sz="2"/>
              <w:left w:val="single" w:color="999999" w:sz="2"/>
              <w:bottom w:val="single" w:color="999999" w:sz="2"/>
              <w:right w:val="single" w:color="999999" w:sz="2"/>
            </w:tcBorders>
            <w:shd w:fill="1F3864" w:val="clear"/>
            <w:tcMar>
              <w:top w:type="dxa" w:w="50"/>
              <w:left w:type="dxa" w:w="90"/>
              <w:bottom w:type="dxa" w:w="50"/>
              <w:right w:type="dxa" w:w="90"/>
            </w:tcMar>
          </w:tcPr>
          <w:p>
            <w:r>
              <w:rPr>
                <w:b/>
                <w:bCs/>
                <w:color w:val="FFFFFF"/>
                <w:sz w:val="18"/>
                <w:szCs w:val="18"/>
              </w:rPr>
              <w:t xml:space="preserve">Fee earner</w:t>
            </w:r>
          </w:p>
        </w:tc>
        <w:tc>
          <w:tcPr>
            <w:tcW w:type="dxa" w:w="1800"/>
            <w:tcBorders>
              <w:top w:val="single" w:color="999999" w:sz="2"/>
              <w:left w:val="single" w:color="999999" w:sz="2"/>
              <w:bottom w:val="single" w:color="999999" w:sz="2"/>
              <w:right w:val="single" w:color="999999" w:sz="2"/>
            </w:tcBorders>
            <w:shd w:fill="1F3864" w:val="clear"/>
            <w:tcMar>
              <w:top w:type="dxa" w:w="50"/>
              <w:left w:type="dxa" w:w="90"/>
              <w:bottom w:type="dxa" w:w="50"/>
              <w:right w:type="dxa" w:w="90"/>
            </w:tcMar>
          </w:tcPr>
          <w:p>
            <w:r>
              <w:rPr>
                <w:b/>
                <w:bCs/>
                <w:color w:val="FFFFFF"/>
                <w:sz w:val="18"/>
                <w:szCs w:val="18"/>
              </w:rPr>
              <w:t xml:space="preserve">Rate/hour</w:t>
            </w:r>
          </w:p>
        </w:tc>
      </w:tr>
      <w:tr>
        <w:tc>
          <w:tcPr>
            <w:tcW w:type="dxa" w:w="4200"/>
            <w:tcBorders>
              <w:top w:val="single" w:color="999999" w:sz="2"/>
              <w:left w:val="single" w:color="999999" w:sz="2"/>
              <w:bottom w:val="single" w:color="999999" w:sz="2"/>
              <w:right w:val="single" w:color="999999" w:sz="2"/>
            </w:tcBorders>
            <w:tcMar>
              <w:top w:type="dxa" w:w="50"/>
              <w:left w:type="dxa" w:w="90"/>
              <w:bottom w:type="dxa" w:w="50"/>
              <w:right w:type="dxa" w:w="90"/>
            </w:tcMar>
          </w:tcPr>
          <w:p>
            <w:r>
              <w:rPr>
                <w:sz w:val="18"/>
                <w:szCs w:val="18"/>
              </w:rPr>
              <w:t xml:space="preserve">Sarah Whitfield — Partner</w:t>
            </w:r>
          </w:p>
        </w:tc>
        <w:tc>
          <w:tcPr>
            <w:tcW w:type="dxa" w:w="1800"/>
            <w:tcBorders>
              <w:top w:val="single" w:color="999999" w:sz="2"/>
              <w:left w:val="single" w:color="999999" w:sz="2"/>
              <w:bottom w:val="single" w:color="999999" w:sz="2"/>
              <w:right w:val="single" w:color="999999" w:sz="2"/>
            </w:tcBorders>
            <w:tcMar>
              <w:top w:type="dxa" w:w="50"/>
              <w:left w:type="dxa" w:w="90"/>
              <w:bottom w:type="dxa" w:w="50"/>
              <w:right w:type="dxa" w:w="90"/>
            </w:tcMar>
          </w:tcPr>
          <w:p>
            <w:r>
              <w:rPr>
                <w:sz w:val="18"/>
                <w:szCs w:val="18"/>
              </w:rPr>
              <w:t xml:space="preserve">£695</w:t>
            </w:r>
          </w:p>
        </w:tc>
      </w:tr>
      <w:tr>
        <w:tc>
          <w:tcPr>
            <w:tcW w:type="dxa" w:w="4200"/>
            <w:tcBorders>
              <w:top w:val="single" w:color="999999" w:sz="2"/>
              <w:left w:val="single" w:color="999999" w:sz="2"/>
              <w:bottom w:val="single" w:color="999999" w:sz="2"/>
              <w:right w:val="single" w:color="999999" w:sz="2"/>
            </w:tcBorders>
            <w:tcMar>
              <w:top w:type="dxa" w:w="50"/>
              <w:left w:type="dxa" w:w="90"/>
              <w:bottom w:type="dxa" w:w="50"/>
              <w:right w:type="dxa" w:w="90"/>
            </w:tcMar>
          </w:tcPr>
          <w:p>
            <w:r>
              <w:rPr>
                <w:sz w:val="18"/>
                <w:szCs w:val="18"/>
              </w:rPr>
              <w:t xml:space="preserve">James Osei — Senior Associate</w:t>
            </w:r>
          </w:p>
        </w:tc>
        <w:tc>
          <w:tcPr>
            <w:tcW w:type="dxa" w:w="1800"/>
            <w:tcBorders>
              <w:top w:val="single" w:color="999999" w:sz="2"/>
              <w:left w:val="single" w:color="999999" w:sz="2"/>
              <w:bottom w:val="single" w:color="999999" w:sz="2"/>
              <w:right w:val="single" w:color="999999" w:sz="2"/>
            </w:tcBorders>
            <w:tcMar>
              <w:top w:type="dxa" w:w="50"/>
              <w:left w:type="dxa" w:w="90"/>
              <w:bottom w:type="dxa" w:w="50"/>
              <w:right w:type="dxa" w:w="90"/>
            </w:tcMar>
          </w:tcPr>
          <w:p>
            <w:r>
              <w:rPr>
                <w:sz w:val="18"/>
                <w:szCs w:val="18"/>
              </w:rPr>
              <w:t xml:space="preserve">£480</w:t>
            </w:r>
          </w:p>
        </w:tc>
      </w:tr>
      <w:tr>
        <w:tc>
          <w:tcPr>
            <w:tcW w:type="dxa" w:w="4200"/>
            <w:tcBorders>
              <w:top w:val="single" w:color="999999" w:sz="2"/>
              <w:left w:val="single" w:color="999999" w:sz="2"/>
              <w:bottom w:val="single" w:color="999999" w:sz="2"/>
              <w:right w:val="single" w:color="999999" w:sz="2"/>
            </w:tcBorders>
            <w:tcMar>
              <w:top w:type="dxa" w:w="50"/>
              <w:left w:type="dxa" w:w="90"/>
              <w:bottom w:type="dxa" w:w="50"/>
              <w:right w:type="dxa" w:w="90"/>
            </w:tcMar>
          </w:tcPr>
          <w:p>
            <w:r>
              <w:rPr>
                <w:sz w:val="18"/>
                <w:szCs w:val="18"/>
              </w:rPr>
              <w:t xml:space="preserve">Elena Marchetti — Associate</w:t>
            </w:r>
          </w:p>
        </w:tc>
        <w:tc>
          <w:tcPr>
            <w:tcW w:type="dxa" w:w="1800"/>
            <w:tcBorders>
              <w:top w:val="single" w:color="999999" w:sz="2"/>
              <w:left w:val="single" w:color="999999" w:sz="2"/>
              <w:bottom w:val="single" w:color="999999" w:sz="2"/>
              <w:right w:val="single" w:color="999999" w:sz="2"/>
            </w:tcBorders>
            <w:tcMar>
              <w:top w:type="dxa" w:w="50"/>
              <w:left w:type="dxa" w:w="90"/>
              <w:bottom w:type="dxa" w:w="50"/>
              <w:right w:type="dxa" w:w="90"/>
            </w:tcMar>
          </w:tcPr>
          <w:p>
            <w:r>
              <w:rPr>
                <w:sz w:val="18"/>
                <w:szCs w:val="18"/>
              </w:rPr>
              <w:t xml:space="preserve">£330</w:t>
            </w:r>
          </w:p>
        </w:tc>
      </w:tr>
    </w:tbl>
    <w:p>
      <w:pPr>
        <w:pStyle w:val="Heading2"/>
      </w:pPr>
      <w:r>
        <w:t xml:space="preserve">4.  Billing</w:t>
      </w:r>
    </w:p>
    <w:p>
      <w:pPr>
        <w:spacing w:after="120" w:before="120"/>
      </w:pPr>
      <w:r>
        <w:t xml:space="preserve">We will render interim invoices monthly. Invoices are payable within 14 days. We may ask for a payment on account of fees and disbursements before substantial work is undertaken.</w:t>
      </w:r>
    </w:p>
    <w:p>
      <w:pPr>
        <w:pStyle w:val="Heading2"/>
      </w:pPr>
      <w:r>
        <w:t xml:space="preserve">5.  Confidentiality and conflicts</w:t>
      </w:r>
    </w:p>
    <w:p>
      <w:pPr>
        <w:spacing w:after="120"/>
      </w:pPr>
      <w:r>
        <w:t xml:space="preserve">We have carried out a conflicts check and are not aware of any conflict that would prevent us acting. We will keep your affairs confidential in accordance with our professional obligations.</w:t>
      </w:r>
    </w:p>
    <w:p>
      <w:pPr>
        <w:pStyle w:val="Heading2"/>
      </w:pPr>
      <w:r>
        <w:t xml:space="preserve">6.  Acceptance</w:t>
      </w:r>
    </w:p>
    <w:p>
      <w:pPr>
        <w:spacing w:after="120"/>
      </w:pPr>
      <w:r>
        <w:t xml:space="preserve">Please confirm your acceptance of the terms of this letter and the enclosed terms of business by signing and returning the enclosed copy. We look forward to working with you on this matter.</w:t>
      </w:r>
    </w:p>
    <w:p>
      <w:pPr>
        <w:spacing w:after="160" w:before="160"/>
      </w:pPr>
      <w:r>
        <w:t xml:space="preserve">Yours sincerely</w:t>
      </w:r>
    </w:p>
    <w:p>
      <w:pPr>
        <w:spacing w:after="0"/>
      </w:pPr>
      <w:r>
        <w:t xml:space="preserve">Sarah Whitfield</w:t>
      </w:r>
    </w:p>
    <w:p>
      <w:pPr>
        <w:spacing w:after="0"/>
      </w:pPr>
      <w:r>
        <w:t xml:space="preserve">Partner, Whitfield Carter LLP</w:t>
      </w:r>
    </w:p>
    <w:p>
      <w:pPr>
        <w:spacing w:after="0"/>
      </w:pPr>
      <w:r>
        <w:t xml:space="preserve">sarah.whitfield@whitfieldcarter.com</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864" w:sz="4" w:space="2"/>
      </w:pBdr>
      <w:spacing w:after="0" w:before="40"/>
    </w:pPr>
    <w:r>
      <w:rPr>
        <w:color w:val="808080"/>
        <w:sz w:val="13"/>
        <w:szCs w:val="13"/>
      </w:rPr>
      <w:t xml:space="preserve">Whitfield Carter LLP is a limited liability partnership registered in England and Wales (registered number OC399214). A list of members is available at the registered office. Authorised and regulated by the Solicitors Regulation Authority. This communication is confidential and may be legally privileged.</w:t>
    </w:r>
  </w:p>
  <w:p>
    <w:pPr>
      <w:jc w:val="right"/>
    </w:pPr>
    <w:r>
      <w:rPr>
        <w:sz w:val="14"/>
        <w:szCs w:val="14"/>
      </w:rPr>
      <w:t xml:space="preserve">Page </w:t>
    </w:r>
    <w:r>
      <w:rPr>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rPr>
        <w:b/>
        <w:bCs/>
        <w:color w:val="1F3864"/>
        <w:sz w:val="26"/>
        <w:szCs w:val="26"/>
      </w:rPr>
      <w:t xml:space="preserve">Whitfield Carter LLP</w:t>
    </w:r>
  </w:p>
  <w:p>
    <w:pPr>
      <w:spacing w:after="40"/>
    </w:pPr>
    <w:r>
      <w:rPr>
        <w:color w:val="808080"/>
        <w:sz w:val="15"/>
        <w:szCs w:val="15"/>
      </w:rPr>
      <w:t xml:space="preserve">Solicitors</w:t>
    </w:r>
  </w:p>
  <w:p>
    <w:pPr>
      <w:pBdr>
        <w:bottom w:val="single" w:color="1F3864" w:sz="8" w:space="2"/>
      </w:pBdr>
      <w:spacing w:after="40"/>
    </w:pPr>
    <w:r>
      <w:rPr>
        <w:color w:val="808080"/>
        <w:sz w:val="14"/>
        <w:szCs w:val="14"/>
      </w:rPr>
      <w:t xml:space="preserve">22 Bishopsgate, London EC2N 4BQ   |   +44 (0)20 7946 1200   |   whitfieldcarter.com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200"/>
      <w:outlineLvl w:val="0"/>
    </w:pPr>
    <w:rPr>
      <w:rFonts w:ascii="Arial" w:cs="Arial" w:eastAsia="Arial" w:hAnsi="Arial"/>
      <w:b/>
      <w:bCs/>
      <w:color w:val="1F3864"/>
      <w:sz w:val="24"/>
      <w:szCs w:val="24"/>
    </w:rPr>
  </w:style>
  <w:style w:type="paragraph" w:styleId="Heading2">
    <w:name w:val="Heading 2"/>
    <w:basedOn w:val="Normal"/>
    <w:next w:val="Normal"/>
    <w:qFormat/>
    <w:pPr>
      <w:spacing w:after="60" w:before="140"/>
      <w:outlineLvl w:val="1"/>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2026-06-28T19:48:30.747Z</dcterms:created>
  <dcterms:modified xsi:type="dcterms:W3CDTF">2026-06-28T19:48:30.747Z</dcterms:modified>
</cp:coreProperties>
</file>

<file path=docProps/custom.xml><?xml version="1.0" encoding="utf-8"?>
<Properties xmlns="http://schemas.openxmlformats.org/officeDocument/2006/custom-properties" xmlns:vt="http://schemas.openxmlformats.org/officeDocument/2006/docPropsVTypes"/>
</file>