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0000"/>
          <w:sz w:val="18"/>
          <w:szCs w:val="18"/>
        </w:rPr>
        <w:t xml:space="preserve">PRIVATE &amp; CONFIDENTIAL — SUBJECT TO CONTRACT</w:t>
      </w:r>
    </w:p>
    <w:p>
      <w:pPr>
        <w:spacing w:after="40" w:before="120"/>
        <w:jc w:val="center"/>
      </w:pPr>
      <w:r>
        <w:rPr>
          <w:b/>
          <w:bCs/>
          <w:color w:val="1F3864"/>
          <w:sz w:val="28"/>
          <w:szCs w:val="28"/>
        </w:rPr>
        <w:t xml:space="preserve">PROJECT TAMARISK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Non-Binding Term Sheet — Patent and Technology Licence</w:t>
      </w:r>
    </w:p>
    <w:p>
      <w:pPr>
        <w:spacing w:after="160"/>
        <w:jc w:val="center"/>
      </w:pPr>
      <w:r>
        <w:rPr>
          <w:i/>
          <w:iCs/>
        </w:rPr>
        <w:t xml:space="preserve">9 October 2025</w:t>
      </w:r>
    </w:p>
    <w:p>
      <w:pPr>
        <w:spacing w:after="120"/>
      </w:pPr>
      <w:r>
        <w:t xml:space="preserve">This term sheet summarises the principal terms on which Halverson Materials Limited (the “Licensor”) proposes to grant to Northstar Cell Technologies plc (the “Licensee”) a licence of the Licensor’s HX-7 sulphide solid-electrolyte technology. Save for the paragraphs headed “Exclusivity”, “Confidentiality” and “Governing law”, this term sheet is not legally binding and is subject to contract and to satisfactory due diligence.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Licensor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Halverson Materials Limited (co. no. 11984302)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Licensee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Northstar Cell Technologies plc (co. no. 09452217)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Halverson HX-7 sulphide (argyrodite-type) solid-electrolyte materials platform, related patents and know-how.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Development, manufacture and sale of solid-state lithium battery cells and modules for automotive and stationary energy-storage applications.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Territory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Worldwide, excluding the People’s Republic of China.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Exclusivity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Exclusive in the Field in the Territory, subject to diligence milestones; convertible to non-exclusive on failure to achieve first commercial sale by the longstop date.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Upfront fee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£4,500,000, payable within 30 days of signing.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Running royalty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6.0% of Net Sales (Licensor opening position; to be negotiated).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Milestones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£2,000,000 on first commercial line qualification; £3,000,000 on cumulative Net Sales exceeding £10,000,000.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Minimum royalty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£350,000 per annum from Year 3 (Licensor opening position).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Until expiry of the last-to-expire licensed patent; know-how licence to become perpetual and royalty-free thereafter.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Improvements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Cross-licence of Improvements; Licensor improvements in-Field included at no extra charge.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Liability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Mutual cap to be agreed (Licensor proposes 1x trailing 12-month fees).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Conditions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Satisfactory IP due diligence; board approvals; agreed-form Disclosure Letter; technology-transfer plan.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Exclusivity period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parties will negotiate exclusively for 45 days from the date of this term sheet.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Governing law</w:t>
            </w:r>
          </w:p>
        </w:tc>
        <w:tc>
          <w:tcPr>
            <w:tcW w:type="dxa" w:w="67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England and Wales.</w:t>
            </w:r>
          </w:p>
        </w:tc>
      </w:tr>
    </w:tbl>
    <w:p>
      <w:pPr>
        <w:spacing w:after="160" w:before="200"/>
      </w:pPr>
      <w:r>
        <w:t xml:space="preserve">Agreed in principle, subject to contract:</w:t>
      </w:r>
    </w:p>
    <w:p>
      <w:pPr>
        <w:spacing w:after="120"/>
      </w:pPr>
      <w:r>
        <w:t xml:space="preserve">For Halverson Materials Limited: ……………………………   For Northstar Cell Technologies plc: ……………………………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2"/>
      </w:pBdr>
      <w:spacing w:after="0" w:before="40"/>
    </w:pPr>
    <w:r>
      <w:rPr>
        <w:color w:val="808080"/>
        <w:sz w:val="13"/>
        <w:szCs w:val="13"/>
      </w:rPr>
      <w:t xml:space="preserve">Whitfield Carter LLP is a limited liability partnership registered in England and Wales (registered number OC399214). A list of members is available at the registered office. Authorised and regulated by the Solicitors Regulation Authority. This communication is confidential and may be legally privileged.</w:t>
    </w:r>
  </w:p>
  <w:p>
    <w:pPr>
      <w:jc w:val="right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1F3864"/>
        <w:sz w:val="26"/>
        <w:szCs w:val="26"/>
      </w:rPr>
      <w:t xml:space="preserve">Whitfield Carter LLP</w:t>
    </w:r>
  </w:p>
  <w:p>
    <w:pPr>
      <w:spacing w:after="40"/>
    </w:pPr>
    <w:r>
      <w:rPr>
        <w:color w:val="808080"/>
        <w:sz w:val="15"/>
        <w:szCs w:val="15"/>
      </w:rPr>
      <w:t xml:space="preserve">Solicitors</w:t>
    </w:r>
  </w:p>
  <w:p>
    <w:pPr>
      <w:pBdr>
        <w:bottom w:val="single" w:color="1F3864" w:sz="8" w:space="2"/>
      </w:pBdr>
      <w:spacing w:after="40"/>
    </w:pPr>
    <w:r>
      <w:rPr>
        <w:color w:val="808080"/>
        <w:sz w:val="14"/>
        <w:szCs w:val="14"/>
      </w:rPr>
      <w:t xml:space="preserve">22 Bishopsgate, London EC2N 4BQ   |   +44 (0)20 7946 1200   | 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2026-06-28T19:48:30.725Z</dcterms:created>
  <dcterms:modified xsi:type="dcterms:W3CDTF">2026-06-28T19:48:30.725Z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