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sz w:val="22"/>
          <w:szCs w:val="22"/>
        </w:rPr>
        <w:t xml:space="preserve">PROJECT HARBOR – CONDITIONS PRECEDENT CHECKLIST</w:t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Status as at 16 January 2026  ·  Prepared by Whitfield Carter LLP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400"/>
        <w:gridCol w:w="2300"/>
        <w:gridCol w:w="2100"/>
      </w:tblGrid>
      <w:tr>
        <w:trPr>
          <w:tblHeader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 precedent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Responsible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Certified constitutional documents – each Obligor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Satisfied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 &amp; shareholder resolutions – each Obligor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 / Company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Satisfied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Solvency certificate (two directors)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Satisfied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Executed Amendment and Restatement Agreement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 / Pemberton Rowe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agreed form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Executed Intercreditor Agreement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 / Pemberton Rowe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 agreed form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Executed Subordinated Loan Agreement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Satisfied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£5.0m subordinated loan in Blocked Account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 / HFH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Funds received 14 Jan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Debentures – each Obligor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Engrossed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charge over Tenterden freehold + priority search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Engrossed; search clear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IBR &amp; agreed business plan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Marlow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Satisfied (21 Nov)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Legal opinion – Whitfield Carter LLP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WC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Draft circulated</w:t>
            </w:r>
          </w:p>
        </w:tc>
      </w:tr>
      <w:tr>
        <w:trPr>
          <w:tblHeader w:val="false"/>
        </w:trPr>
        <w:tc>
          <w:tcPr>
            <w:tcW w:type="dxa" w:w="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Amendment &amp; arrangement fees (or capitalisation)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Company</w:t>
            </w:r>
          </w:p>
        </w:tc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Capitalisation agreed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sz w:val="18"/>
          <w:szCs w:val="18"/>
        </w:rPr>
        <w:t xml:space="preserve">Target Effective Date: 19 January 2026. Outstanding items (4, 5, 11) expected to be cleared by close of business 17 January.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right" w:pos="9026"/>
      </w:tabs>
    </w:pPr>
    <w:r>
      <w:rPr>
        <w:color w:val="808080"/>
        <w:sz w:val="14"/>
        <w:szCs w:val="14"/>
      </w:rPr>
      <w:t xml:space="preserve">Whitfield Carter LLP is a limited liability partnership registered in England &amp; Wales. Confidential and may be legally privileged.</w:t>
    </w:r>
    <w:r>
      <w:rPr>
        <w:color w:val="808080"/>
        <w:sz w:val="14"/>
        <w:szCs w:val="14"/>
      </w:rPr>
      <w:t xml:space="preserve">	Page </w:t>
    </w:r>
    <w:r>
      <w:rPr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(%1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2026-06-29T14:42:28.833Z</dcterms:created>
  <dcterms:modified xsi:type="dcterms:W3CDTF">2026-06-29T14:42:28.833Z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