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C00000"/>
          <w:sz w:val="18"/>
          <w:szCs w:val="18"/>
        </w:rPr>
        <w:t xml:space="preserve">PRIVATE &amp; CONFIDENTIAL – LEGALLY PRIVILEGED</w:t>
      </w:r>
    </w:p>
    <w:p>
      <w:pPr>
        <w:spacing w:after="120"/>
      </w:pPr>
      <w:r>
        <w:t xml:space="preserve"/>
      </w:r>
    </w:p>
    <w:p>
      <w:pPr>
        <w:spacing w:after="120"/>
      </w:pPr>
      <w:r>
        <w:t xml:space="preserve">To:     The Board of Directors, Harledge Foods Group Limited</w:t>
      </w:r>
    </w:p>
    <w:p>
      <w:pPr>
        <w:spacing w:after="120"/>
      </w:pPr>
      <w:r>
        <w:t xml:space="preserve">From:   Sarah Whitfield, Whitfield Carter LLP</w:t>
      </w:r>
    </w:p>
    <w:p>
      <w:pPr>
        <w:spacing w:after="120"/>
      </w:pPr>
      <w:r>
        <w:t xml:space="preserve">Date:   13 November 2025</w:t>
      </w:r>
    </w:p>
    <w:p>
      <w:pPr>
        <w:spacing w:after="120"/>
      </w:pPr>
      <w:r>
        <w:rPr>
          <w:b/>
          <w:bCs/>
        </w:rPr>
        <w:t xml:space="preserve">Re:     Project Harbor – directors’ duties in the zone of insolvency</w:t>
      </w:r>
    </w:p>
    <w:p>
      <w:pPr>
        <w:spacing w:after="120"/>
      </w:pPr>
      <w:r>
        <w:t xml:space="preserve">This note summarises the directors’ duties to be borne in mind while the Group negotiates its financial restructuring and operates under the standstill with Pennine Business Bank plc. It is provided for the directors only and is subject to legal professional privilege.</w:t>
      </w:r>
    </w:p>
    <w:p>
      <w:pPr>
        <w:pStyle w:val="Heading2"/>
      </w:pPr>
      <w:r>
        <w:t xml:space="preserve">1.  The shift in duties</w:t>
      </w:r>
    </w:p>
    <w:p>
      <w:pPr>
        <w:spacing w:after="120"/>
      </w:pPr>
      <w:r>
        <w:t xml:space="preserve">Where a company is insolvent or there is a real prospect of insolvency, the duty in section 172 of the Companies Act 2006 to promote the success of the company for the benefit of its members is modified: the directors must have regard to, and ultimately give priority to, the interests of creditors as a whole (the rule confirmed by the Supreme Court in BTI 2014 LLC v Sequana). The greater the financial difficulty, the more weight creditors’ interests must be given.</w:t>
      </w:r>
    </w:p>
    <w:p>
      <w:pPr>
        <w:pStyle w:val="Heading2"/>
      </w:pPr>
      <w:r>
        <w:t xml:space="preserve">2.  Practical steps for the Board</w:t>
      </w:r>
    </w:p>
    <w:p>
      <w:pPr>
        <w:pStyle w:val="ListParagraph"/>
        <w:numPr>
          <w:ilvl w:val="0"/>
          <w:numId w:val="2"/>
        </w:numPr>
        <w:spacing w:after="80"/>
      </w:pPr>
      <w:r>
        <w:t xml:space="preserve">hold regular, minuted board meetings and record the basis for key decisions, in particular the decision to continue trading;</w:t>
      </w:r>
    </w:p>
    <w:p>
      <w:pPr>
        <w:pStyle w:val="ListParagraph"/>
        <w:numPr>
          <w:ilvl w:val="0"/>
          <w:numId w:val="2"/>
        </w:numPr>
        <w:spacing w:after="80"/>
      </w:pPr>
      <w:r>
        <w:t xml:space="preserve">monitor the rolling 13-week cashflow forecast closely and take advice if liquidity deteriorates beyond the forecast;</w:t>
      </w:r>
    </w:p>
    <w:p>
      <w:pPr>
        <w:pStyle w:val="ListParagraph"/>
        <w:numPr>
          <w:ilvl w:val="0"/>
          <w:numId w:val="2"/>
        </w:numPr>
        <w:spacing w:after="80"/>
      </w:pPr>
      <w:r>
        <w:t xml:space="preserve">avoid preferring any creditor and avoid transactions at an undervalue;</w:t>
      </w:r>
    </w:p>
    <w:p>
      <w:pPr>
        <w:pStyle w:val="ListParagraph"/>
        <w:numPr>
          <w:ilvl w:val="0"/>
          <w:numId w:val="2"/>
        </w:numPr>
        <w:spacing w:after="80"/>
      </w:pPr>
      <w:r>
        <w:t xml:space="preserve">do not incur new credit that the Board does not reasonably believe the Group can repay;</w:t>
      </w:r>
    </w:p>
    <w:p>
      <w:pPr>
        <w:pStyle w:val="ListParagraph"/>
        <w:numPr>
          <w:ilvl w:val="0"/>
          <w:numId w:val="2"/>
        </w:numPr>
        <w:spacing w:after="80"/>
      </w:pPr>
      <w:r>
        <w:t xml:space="preserve">rely on the independent business review and professional advice, and document that reliance; and</w:t>
      </w:r>
    </w:p>
    <w:p>
      <w:pPr>
        <w:pStyle w:val="ListParagraph"/>
        <w:numPr>
          <w:ilvl w:val="0"/>
          <w:numId w:val="2"/>
        </w:numPr>
        <w:spacing w:after="80"/>
      </w:pPr>
      <w:r>
        <w:t xml:space="preserve">keep the standstill undertakings (including no payments to Harledge Family Holdings Limited) under active review.</w:t>
      </w:r>
    </w:p>
    <w:p>
      <w:pPr>
        <w:pStyle w:val="Heading2"/>
      </w:pPr>
      <w:r>
        <w:t xml:space="preserve">3.  Wrongful and fraudulent trading</w:t>
      </w:r>
    </w:p>
    <w:p>
      <w:pPr>
        <w:spacing w:after="120"/>
      </w:pPr>
      <w:r>
        <w:t xml:space="preserve">Under section 214 of the Insolvency Act 1986 a director may be personally liable for wrongful trading if, at some point before any insolvent liquidation, the director knew or ought to have concluded that there was no reasonable prospect of avoiding insolvent liquidation and did not take every step to minimise loss to creditors. Provided the Board continues to act on the restructuring plan and the IBR base case, and takes the steps above, the directors are in our view acting properly; but this must be kept under continuous review as circumstances change.</w:t>
      </w:r>
    </w:p>
    <w:p>
      <w:pPr>
        <w:pStyle w:val="Heading2"/>
      </w:pPr>
      <w:r>
        <w:t xml:space="preserve">4.  Conclusion</w:t>
      </w:r>
    </w:p>
    <w:p>
      <w:pPr>
        <w:spacing w:after="120"/>
      </w:pPr>
      <w:r>
        <w:t xml:space="preserve">The proposed restructuring – new super-senior money, the shareholder injection and the covenant reset – is consistent with the directors’ duties to creditors provided the Board satisfies itself, on the IBR and the business plan, that it gives the Group a reasonable prospect of returning to compliance. We would be glad to attend the next board meeting to discuss.</w:t>
      </w:r>
    </w:p>
    <w:p>
      <w:pPr>
        <w:spacing w:after="120"/>
      </w:pPr>
      <w:r>
        <w:t xml:space="preserve"/>
      </w:r>
    </w:p>
    <w:p>
      <w:pPr>
        <w:spacing w:after="120"/>
      </w:pPr>
      <w:r>
        <w:rPr>
          <w:b/>
          <w:bCs/>
        </w:rPr>
        <w:t xml:space="preserve">Sarah Whitfield</w:t>
      </w:r>
    </w:p>
    <w:p>
      <w:pPr>
        <w:spacing w:after="120"/>
      </w:pPr>
      <w:r>
        <w:t xml:space="preserve">Partner, 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is a limited liability partnership registered in England &amp; Wales.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6"/>
        <w:szCs w:val="26"/>
      </w:rPr>
      <w:t xml:space="preserve">WHITFIELD CARTER LLP</w:t>
    </w:r>
  </w:p>
  <w:p>
    <w:pPr>
      <w:pBdr>
        <w:bottom w:val="single" w:color="1F3864" w:sz="6" w:space="1"/>
      </w:pBdr>
      <w:spacing w:after="60"/>
    </w:pPr>
    <w:r>
      <w:rPr>
        <w:color w:val="595959"/>
        <w:sz w:val="16"/>
        <w:szCs w:val="16"/>
      </w:rPr>
      <w:t xml:space="preserve">22 Bishopsgate, London EC2N 4BQ  ·  +44 (0)20 7946 0900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2026-06-29T14:41:24.154Z</dcterms:created>
  <dcterms:modified xsi:type="dcterms:W3CDTF">2026-06-29T14:41:24.154Z</dcterms:modified>
</cp:coreProperties>
</file>

<file path=docProps/custom.xml><?xml version="1.0" encoding="utf-8"?>
<Properties xmlns="http://schemas.openxmlformats.org/officeDocument/2006/custom-properties" xmlns:vt="http://schemas.openxmlformats.org/officeDocument/2006/docPropsVTypes"/>
</file>