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i/>
          <w:iCs/>
          <w:sz w:val="18"/>
          <w:szCs w:val="18"/>
        </w:rPr>
        <w:t xml:space="preserve">Strictly private &amp; confidential</w:t>
      </w:r>
    </w:p>
    <w:p>
      <w:pPr>
        <w:spacing w:after="120"/>
      </w:pPr>
      <w:r>
        <w:rPr>
          <w:sz w:val="18"/>
          <w:szCs w:val="18"/>
        </w:rPr>
        <w:t xml:space="preserve">By email and post</w:t>
      </w:r>
    </w:p>
    <w:p>
      <w:pPr>
        <w:spacing w:after="120"/>
      </w:pPr>
      <w:r>
        <w:t xml:space="preserve"/>
      </w:r>
    </w:p>
    <w:p>
      <w:pPr>
        <w:spacing w:after="120"/>
      </w:pPr>
      <w:r>
        <w:t xml:space="preserve">Ms Fiona Carrick</w:t>
      </w:r>
    </w:p>
    <w:p>
      <w:pPr>
        <w:spacing w:after="120"/>
      </w:pPr>
      <w:r>
        <w:t xml:space="preserve">Chief Financial Officer</w:t>
      </w:r>
    </w:p>
    <w:p>
      <w:pPr>
        <w:spacing w:after="120"/>
      </w:pPr>
      <w:r>
        <w:t xml:space="preserve">Harledge Foods Group Limited</w:t>
      </w:r>
    </w:p>
    <w:p>
      <w:pPr>
        <w:spacing w:after="120"/>
      </w:pPr>
      <w:r>
        <w:t xml:space="preserve">Brookfield House, Tenterden Way, Ashford, Kent TN24 0LP</w:t>
      </w:r>
    </w:p>
    <w:p>
      <w:pPr>
        <w:spacing w:after="120"/>
      </w:pPr>
      <w:r>
        <w:t xml:space="preserve"/>
      </w:r>
    </w:p>
    <w:p>
      <w:pPr>
        <w:spacing w:after="120"/>
      </w:pPr>
      <w:r>
        <w:t xml:space="preserve">9 October 2025</w:t>
      </w:r>
    </w:p>
    <w:p>
      <w:pPr>
        <w:spacing w:after="120"/>
      </w:pPr>
      <w:r>
        <w:t xml:space="preserve"/>
      </w:r>
    </w:p>
    <w:p>
      <w:pPr>
        <w:spacing w:after="120"/>
      </w:pPr>
      <w:r>
        <w:t xml:space="preserve">Dear Fiona</w:t>
      </w:r>
    </w:p>
    <w:p>
      <w:pPr>
        <w:spacing w:after="120"/>
      </w:pPr>
      <w:r>
        <w:rPr>
          <w:b/>
          <w:bCs/>
        </w:rPr>
        <w:t xml:space="preserve">Project Harbor – financial restructuring of the Harledge group: engagement and scope of work</w:t>
      </w:r>
    </w:p>
    <w:p>
      <w:pPr>
        <w:spacing w:after="120"/>
      </w:pPr>
      <w:r>
        <w:t xml:space="preserve">Thank you for instructing Whitfield Carter LLP in connection with the proposed financial restructuring of the senior banking facilities of Harledge Foods Group Limited (the “Company”) and its subsidiaries (together, the “Group”). This letter sets out the basis on which we will act, the scope of our engagement, our team, and our fee arrangements. It supplements our standard terms of business enclosed at Appendix 1.</w:t>
      </w:r>
    </w:p>
    <w:p>
      <w:pPr>
        <w:pStyle w:val="Heading2"/>
      </w:pPr>
      <w:r>
        <w:t xml:space="preserve">1.  Background and our understanding</w:t>
      </w:r>
    </w:p>
    <w:p>
      <w:pPr>
        <w:spacing w:after="120"/>
      </w:pPr>
      <w:r>
        <w:t xml:space="preserve">We understand that the Group is in discussions with Pennine Business Bank plc (the “Senior Lender”) following the breach of the leverage and debt service cover covenants under the facilities agreement originally dated 14 March 2022 (the “Existing Facilities Agreement”) tested at the September 2025 quarter-end. The Group requires (i) a short standstill while a consensual solution is agreed, (ii) an amendment and extension of the existing senior facilities, (iii) a reset of the financial covenants, and (iv) the introduction of approximately £8 million of new super-senior money together with a £5 million subordinated injection from the Group’s ultimate shareholder, Harledge Family Holdings Limited.</w:t>
      </w:r>
    </w:p>
    <w:p>
      <w:pPr>
        <w:pStyle w:val="Heading2"/>
      </w:pPr>
      <w:r>
        <w:t xml:space="preserve">2.  Scope of our engagement</w:t>
      </w:r>
    </w:p>
    <w:p>
      <w:pPr>
        <w:spacing w:after="120"/>
      </w:pPr>
      <w:r>
        <w:t xml:space="preserve">Our engagement comprises the following workstreams:</w:t>
      </w:r>
    </w:p>
    <w:p>
      <w:pPr>
        <w:pStyle w:val="ListParagraph"/>
        <w:numPr>
          <w:ilvl w:val="0"/>
          <w:numId w:val="2"/>
        </w:numPr>
        <w:spacing w:after="80"/>
      </w:pPr>
      <w:r>
        <w:t xml:space="preserve">advising the Company and the Group on the negotiation and documentation of a standstill arrangement with the Senior Lender;</w:t>
      </w:r>
    </w:p>
    <w:p>
      <w:pPr>
        <w:pStyle w:val="ListParagraph"/>
        <w:numPr>
          <w:ilvl w:val="0"/>
          <w:numId w:val="2"/>
        </w:numPr>
        <w:spacing w:after="80"/>
      </w:pPr>
      <w:r>
        <w:t xml:space="preserve">drafting and negotiating an amendment and restatement of the Existing Facilities Agreement (the “ARA”), including the covenant reset, the new super-senior facility and revised security package;</w:t>
      </w:r>
    </w:p>
    <w:p>
      <w:pPr>
        <w:pStyle w:val="ListParagraph"/>
        <w:numPr>
          <w:ilvl w:val="0"/>
          <w:numId w:val="2"/>
        </w:numPr>
        <w:spacing w:after="80"/>
      </w:pPr>
      <w:r>
        <w:t xml:space="preserve">documenting the £5 million shareholder subordinated loan and the related intercreditor / subordination arrangements;</w:t>
      </w:r>
    </w:p>
    <w:p>
      <w:pPr>
        <w:pStyle w:val="ListParagraph"/>
        <w:numPr>
          <w:ilvl w:val="0"/>
          <w:numId w:val="2"/>
        </w:numPr>
        <w:spacing w:after="80"/>
      </w:pPr>
      <w:r>
        <w:t xml:space="preserve">reviewing the independent business review (“IBR”) being prepared by Marlow Tax &amp; Advisory Ltd and advising on directors’ duties in the zone of insolvency; and</w:t>
      </w:r>
    </w:p>
    <w:p>
      <w:pPr>
        <w:pStyle w:val="ListParagraph"/>
        <w:numPr>
          <w:ilvl w:val="0"/>
          <w:numId w:val="2"/>
        </w:numPr>
        <w:spacing w:after="80"/>
      </w:pPr>
      <w:r>
        <w:t xml:space="preserve">co-ordinating conditions precedent, security perfection and completion.</w:t>
      </w:r>
    </w:p>
    <w:p>
      <w:pPr>
        <w:spacing w:after="120"/>
      </w:pPr>
      <w:r>
        <w:t xml:space="preserve">Our engagement does not include tax structuring advice (other than incidental), pensions advice, or advice on the laws of any jurisdiction other than England and Wales. Where specialist input is required we will agree separate scope with you.</w:t>
      </w:r>
    </w:p>
    <w:p>
      <w:pPr>
        <w:pStyle w:val="Heading2"/>
      </w:pPr>
      <w:r>
        <w:t xml:space="preserve">3.  Our team</w:t>
      </w:r>
    </w:p>
    <w:p>
      <w:pPr>
        <w:spacing w:after="120"/>
      </w:pPr>
      <w:r>
        <w:t xml:space="preserve">The engagement will be led by Sarah Whitfield (Partner) with day-to-day conduct by James Osei (Senior Associate) and support from Elena Marchetti (Associate). Sarah remains responsible for the overall relationship and the quality of our work.</w:t>
      </w:r>
    </w:p>
    <w:p>
      <w:pPr>
        <w:pStyle w:val="Heading2"/>
      </w:pPr>
      <w:r>
        <w:t xml:space="preserve">4.  Fees and estimate</w:t>
      </w:r>
    </w:p>
    <w:p>
      <w:pPr>
        <w:spacing w:after="120"/>
      </w:pPr>
      <w:r>
        <w:t xml:space="preserve">Our work will be charged on a time-spent basis at the hourly rates set out below (exclusive of VAT and disbursements):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Fee earner</w:t>
            </w:r>
          </w:p>
        </w:tc>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Role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Hourly rate</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Sarah Whitfield</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Partner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£795</w:t>
            </w:r>
          </w:p>
        </w:tc>
      </w:tr>
      <w:tr>
        <w:trPr>
          <w:tblHeader w:val="false"/>
        </w:trPr>
        <w:tc>
          <w:tcPr>
            <w:tcW w:type="dxa" w:w="3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James Osei</w:t>
            </w:r>
          </w:p>
        </w:tc>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Senior Associate</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£545</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Elena Marchetti</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Associate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£385</w:t>
            </w:r>
          </w:p>
        </w:tc>
      </w:tr>
    </w:tbl>
    <w:p>
      <w:pPr>
        <w:spacing w:after="120"/>
      </w:pPr>
      <w:r>
        <w:t xml:space="preserve">Based on the scope above, we estimate our fees for the engagement through to completion will be in the region of £180,000 to £220,000 plus VAT and disbursements. This is an estimate only and not a fixed fee or a cap; we will keep you informed if our estimate is likely to be exceeded. We will bill monthly in arrears.</w:t>
      </w:r>
    </w:p>
    <w:p>
      <w:pPr>
        <w:pStyle w:val="Heading2"/>
      </w:pPr>
      <w:r>
        <w:t xml:space="preserve">5.  Conflicts and confidentiality</w:t>
      </w:r>
    </w:p>
    <w:p>
      <w:pPr>
        <w:spacing w:after="120"/>
      </w:pPr>
      <w:r>
        <w:t xml:space="preserve">We have carried out a conflict check and are not aware of any conflict that would prevent us acting. We confirm we do not act for the Senior Lender. All information you provide will be treated as confidential in accordance with our standard terms and our professional obligations.</w:t>
      </w:r>
    </w:p>
    <w:p>
      <w:pPr>
        <w:spacing w:after="120"/>
      </w:pPr>
      <w:r>
        <w:t xml:space="preserve">Please confirm your agreement to this engagement by signing and returning the enclosed copy of this letter. We look forward to working with you on this matter.</w:t>
      </w:r>
    </w:p>
    <w:p>
      <w:pPr>
        <w:spacing w:after="120"/>
      </w:pPr>
      <w:r>
        <w:t xml:space="preserve"/>
      </w:r>
    </w:p>
    <w:p>
      <w:pPr>
        <w:spacing w:after="120"/>
      </w:pPr>
      <w:r>
        <w:t xml:space="preserve">Yours sincerely</w:t>
      </w:r>
    </w:p>
    <w:p>
      <w:pPr>
        <w:spacing w:after="120"/>
      </w:pPr>
      <w:r>
        <w:t xml:space="preserve"/>
      </w:r>
    </w:p>
    <w:p>
      <w:pPr>
        <w:spacing w:after="120"/>
      </w:pPr>
      <w:r>
        <w:rPr>
          <w:b/>
          <w:bCs/>
        </w:rPr>
        <w:t xml:space="preserve">Sarah Whitfield</w:t>
      </w:r>
    </w:p>
    <w:p>
      <w:pPr>
        <w:spacing w:after="120"/>
      </w:pPr>
      <w:r>
        <w:t xml:space="preserve">Partner, Whitfield Carter LLP</w:t>
      </w:r>
    </w:p>
    <w:p>
      <w:pPr>
        <w:spacing w:after="120"/>
      </w:pPr>
      <w:r>
        <w:t xml:space="preserve">For and on behalf of Whitfield Carter LLP</w:t>
      </w:r>
    </w:p>
    <w:p>
      <w:pPr>
        <w:spacing w:after="120"/>
      </w:pPr>
      <w:r>
        <w:t xml:space="preserve"/>
      </w:r>
    </w:p>
    <w:p>
      <w:pPr>
        <w:spacing w:after="120"/>
      </w:pPr>
      <w:r>
        <w:rPr>
          <w:i/>
          <w:iCs/>
        </w:rPr>
        <w:t xml:space="preserve">I confirm acceptance of this engagement on behalf of Harledge Foods Group Limited:</w:t>
      </w:r>
    </w:p>
    <w:p>
      <w:pPr>
        <w:spacing w:after="120"/>
      </w:pPr>
      <w:r>
        <w:t xml:space="preserve">Signature: ____________________   Name: Fiona Carrick   Date: 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is a limited liability partnership registered in England &amp; Wales.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1F3864" w:sz="6" w:space="1"/>
      </w:pBdr>
      <w:spacing w:after="60"/>
    </w:pPr>
    <w:r>
      <w:rPr>
        <w:color w:val="595959"/>
        <w:sz w:val="16"/>
        <w:szCs w:val="16"/>
      </w:rPr>
      <w:t xml:space="preserve">22 Bishopsgate, London EC2N 4BQ  ·  +44 (0)20 7946 0900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2026-06-29T14:38:51.542Z</dcterms:created>
  <dcterms:modified xsi:type="dcterms:W3CDTF">2026-06-29T14:38:51.542Z</dcterms:modified>
</cp:coreProperties>
</file>

<file path=docProps/custom.xml><?xml version="1.0" encoding="utf-8"?>
<Properties xmlns="http://schemas.openxmlformats.org/officeDocument/2006/custom-properties" xmlns:vt="http://schemas.openxmlformats.org/officeDocument/2006/docPropsVTypes"/>
</file>