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INTERCREDITOR AGREEMENT</w:t>
      </w:r>
    </w:p>
    <w:p>
      <w:pPr>
        <w:spacing w:after="200"/>
        <w:jc w:val="center"/>
      </w:pPr>
      <w:r>
        <w:rPr>
          <w:i/>
          <w:iCs/>
          <w:sz w:val="20"/>
          <w:szCs w:val="20"/>
        </w:rPr>
        <w:t xml:space="preserve">(Project Harbor)</w:t>
      </w:r>
    </w:p>
    <w:p>
      <w:pPr>
        <w:spacing w:after="120"/>
      </w:pPr>
      <w:r>
        <w:rPr>
          <w:b/>
          <w:bCs/>
        </w:rPr>
        <w:t xml:space="preserve">Dated ____________ 2026</w:t>
      </w:r>
    </w:p>
    <w:p>
      <w:pPr>
        <w:pStyle w:val="Heading2"/>
      </w:pPr>
      <w:r>
        <w:t xml:space="preserve">PARTIES</w:t>
      </w:r>
    </w:p>
    <w:p>
      <w:pPr>
        <w:pStyle w:val="ListParagraph"/>
        <w:numPr>
          <w:ilvl w:val="0"/>
          <w:numId w:val="2"/>
        </w:numPr>
        <w:spacing w:after="80"/>
      </w:pPr>
      <w:r>
        <w:t xml:space="preserve">PENNINE BUSINESS BANK PLC, as Super-Senior Creditor, Senior Creditor and Security Agent;</w:t>
      </w:r>
    </w:p>
    <w:p>
      <w:pPr>
        <w:pStyle w:val="ListParagraph"/>
        <w:numPr>
          <w:ilvl w:val="0"/>
          <w:numId w:val="2"/>
        </w:numPr>
        <w:spacing w:after="80"/>
      </w:pPr>
      <w:r>
        <w:t xml:space="preserve">HARLEDGE FAMILY HOLDINGS LIMITED, as Subordinated Creditor; and</w:t>
      </w:r>
    </w:p>
    <w:p>
      <w:pPr>
        <w:pStyle w:val="ListParagraph"/>
        <w:numPr>
          <w:ilvl w:val="0"/>
          <w:numId w:val="2"/>
        </w:numPr>
        <w:spacing w:after="80"/>
      </w:pPr>
      <w:r>
        <w:t xml:space="preserve">HARLEDGE FOODS GROUP LIMITED and the other Obligors listed in Schedule 1.</w:t>
      </w:r>
    </w:p>
    <w:p>
      <w:pPr>
        <w:pStyle w:val="Heading2"/>
      </w:pPr>
      <w:r>
        <w:t xml:space="preserve">BACKGROUND</w:t>
      </w:r>
    </w:p>
    <w:p>
      <w:pPr>
        <w:spacing w:after="120"/>
      </w:pPr>
      <w:r>
        <w:t xml:space="preserve">This Agreement regulates the ranking and priority of the Liabilities owed by the Obligors, the order of application of enforcement proceeds, and the rights of the creditors on enforcement and insolvency.</w:t>
      </w:r>
    </w:p>
    <w:p>
      <w:pPr>
        <w:tabs>
          <w:tab w:val="left" w:pos="560"/>
        </w:tabs>
        <w:spacing w:after="80" w:before="160"/>
      </w:pPr>
      <w:r>
        <w:rPr>
          <w:b/>
          <w:bCs/>
        </w:rPr>
        <w:t xml:space="preserve">1.</w:t>
      </w:r>
      <w:r>
        <w:rPr>
          <w:b/>
          <w:bCs/>
        </w:rPr>
        <w:t xml:space="preserve">	RANKING AND PRIORITY</w:t>
      </w:r>
    </w:p>
    <w:p>
      <w:pPr>
        <w:spacing w:after="100"/>
        <w:ind w:left="560"/>
      </w:pPr>
      <w:r>
        <w:t xml:space="preserve">The Liabilities rank in the following order of priority: first, the Super-Senior Liabilities (the £8,000,000 Super-Senior Facility and related hedging and costs); second, the Senior Liabilities (the Term Facility and the RCF); and third, the Subordinated Liabilities (the £5,000,000 Subordinated Loan).</w:t>
      </w:r>
    </w:p>
    <w:p>
      <w:pPr>
        <w:spacing w:after="100"/>
        <w:ind w:left="560"/>
      </w:pPr>
      <w:r>
        <w:t xml:space="preserve">The Transaction Security secures the Super-Senior Liabilities and the Senior Liabilities and is held by the Security Agent for the Secured Parties in the order set out in clause 1.1.</w:t>
      </w:r>
    </w:p>
    <w:p>
      <w:pPr>
        <w:tabs>
          <w:tab w:val="left" w:pos="560"/>
        </w:tabs>
        <w:spacing w:after="80" w:before="160"/>
      </w:pPr>
      <w:r>
        <w:rPr>
          <w:b/>
          <w:bCs/>
        </w:rPr>
        <w:t xml:space="preserve">2.</w:t>
      </w:r>
      <w:r>
        <w:rPr>
          <w:b/>
          <w:bCs/>
        </w:rPr>
        <w:t xml:space="preserve">	SUBORDINATION OF THE SUBORDINATED LOAN</w:t>
      </w:r>
    </w:p>
    <w:p>
      <w:pPr>
        <w:spacing w:after="100"/>
        <w:ind w:left="560"/>
      </w:pPr>
      <w:r>
        <w:t xml:space="preserve">Until the Super-Senior Liabilities and the Senior Liabilities have been fully and finally discharged (the “Senior Discharge Date”), the Subordinated Creditor shall not receive or recover any amount in respect of the Subordinated Liabilities, whether of principal, interest (which shall accrue and capitalise as PIK at 6.0 per cent.) or otherwise, except Permitted Subordinated Payments.</w:t>
      </w:r>
    </w:p>
    <w:p>
      <w:pPr>
        <w:spacing w:after="100"/>
        <w:ind w:left="560"/>
      </w:pPr>
      <w:r>
        <w:t xml:space="preserve">No Permitted Subordinated Payments may be made while a Default is continuing. The Subordinated Creditor shall not take any Enforcement Action in respect of the Subordinated Liabilities before the Senior Discharge Date without the prior written consent of the Security Agent.</w:t>
      </w:r>
    </w:p>
    <w:p>
      <w:pPr>
        <w:tabs>
          <w:tab w:val="left" w:pos="560"/>
        </w:tabs>
        <w:spacing w:after="80" w:before="160"/>
      </w:pPr>
      <w:r>
        <w:rPr>
          <w:b/>
          <w:bCs/>
        </w:rPr>
        <w:t xml:space="preserve">3.</w:t>
      </w:r>
      <w:r>
        <w:rPr>
          <w:b/>
          <w:bCs/>
        </w:rPr>
        <w:t xml:space="preserve">	PERMITTED PAYMENTS</w:t>
      </w:r>
    </w:p>
    <w:p>
      <w:pPr>
        <w:spacing w:after="100"/>
        <w:ind w:left="560"/>
      </w:pPr>
      <w:r>
        <w:t xml:space="preserve">Prior to the Senior Discharge Date, the Obligors may make payments in respect of the Super-Senior Liabilities and the Senior Liabilities in accordance with the Finance Documents, provided that proceeds of enforcement are applied in the order set out in clause 5.</w:t>
      </w:r>
    </w:p>
    <w:p>
      <w:pPr>
        <w:tabs>
          <w:tab w:val="left" w:pos="560"/>
        </w:tabs>
        <w:spacing w:after="80" w:before="160"/>
      </w:pPr>
      <w:r>
        <w:rPr>
          <w:b/>
          <w:bCs/>
        </w:rPr>
        <w:t xml:space="preserve">4.</w:t>
      </w:r>
      <w:r>
        <w:rPr>
          <w:b/>
          <w:bCs/>
        </w:rPr>
        <w:t xml:space="preserve">	TURNOVER</w:t>
      </w:r>
    </w:p>
    <w:p>
      <w:pPr>
        <w:spacing w:after="100"/>
        <w:ind w:left="560"/>
      </w:pPr>
      <w:r>
        <w:t xml:space="preserve">If the Subordinated Creditor receives any amount in breach of this Agreement, it shall hold that amount on trust for the Security Agent and pay it to the Security Agent for application under clause 5.</w:t>
      </w:r>
    </w:p>
    <w:p>
      <w:pPr>
        <w:tabs>
          <w:tab w:val="left" w:pos="560"/>
        </w:tabs>
        <w:spacing w:after="80" w:before="160"/>
      </w:pPr>
      <w:r>
        <w:rPr>
          <w:b/>
          <w:bCs/>
        </w:rPr>
        <w:t xml:space="preserve">5.</w:t>
      </w:r>
      <w:r>
        <w:rPr>
          <w:b/>
          <w:bCs/>
        </w:rPr>
        <w:t xml:space="preserve">	APPLICATION OF ENFORCEMENT PROCEEDS</w:t>
      </w:r>
    </w:p>
    <w:p>
      <w:pPr>
        <w:spacing w:after="100"/>
        <w:ind w:left="560"/>
      </w:pPr>
      <w:r>
        <w:t xml:space="preserve">All amounts received by the Security Agent on enforcement shall be applied: first, in payment of the costs of the Security Agent; secondly, in payment of the Super-Senior Liabilities; thirdly, in payment of the Senior Liabilities; fourthly, in payment of the Subordinated Liabilities; and fifthly, the balance to the relevant Obligor.</w:t>
      </w:r>
    </w:p>
    <w:p>
      <w:pPr>
        <w:tabs>
          <w:tab w:val="left" w:pos="560"/>
        </w:tabs>
        <w:spacing w:after="80" w:before="160"/>
      </w:pPr>
      <w:r>
        <w:rPr>
          <w:b/>
          <w:bCs/>
        </w:rPr>
        <w:t xml:space="preserve">6.</w:t>
      </w:r>
      <w:r>
        <w:rPr>
          <w:b/>
          <w:bCs/>
        </w:rPr>
        <w:t xml:space="preserve">	STANDSTILL ON SENIOR ENFORCEMENT</w:t>
      </w:r>
    </w:p>
    <w:p>
      <w:pPr>
        <w:spacing w:after="100"/>
        <w:ind w:left="560"/>
      </w:pPr>
      <w:r>
        <w:t xml:space="preserve">The Senior Creditor agrees that, following an event of default under the Senior Liabilities only (and not the Super-Senior Liabilities), it will consult with the Super-Senior Creditor for a period of 10 Business Days before taking Enforcement Action, save where required to preserve or protect the Transaction Security.</w:t>
      </w:r>
    </w:p>
    <w:p>
      <w:pPr>
        <w:tabs>
          <w:tab w:val="left" w:pos="560"/>
        </w:tabs>
        <w:spacing w:after="80" w:before="160"/>
      </w:pPr>
      <w:r>
        <w:rPr>
          <w:b/>
          <w:bCs/>
        </w:rPr>
        <w:t xml:space="preserve">7.</w:t>
      </w:r>
      <w:r>
        <w:rPr>
          <w:b/>
          <w:bCs/>
        </w:rPr>
        <w:t xml:space="preserve">	GOVERNING LAW AND JURISDICTION</w:t>
      </w:r>
    </w:p>
    <w:p>
      <w:pPr>
        <w:spacing w:after="100"/>
        <w:ind w:left="560"/>
      </w:pPr>
      <w:r>
        <w:t xml:space="preserve">This Agreement and any non-contractual obligations arising out of it are governed by English law, and the courts of England and Wales have exclusive jurisdiction.</w:t>
      </w:r>
    </w:p>
    <w:p>
      <w:pPr>
        <w:spacing w:after="120" w:before="240"/>
      </w:pPr>
      <w:r>
        <w:rPr>
          <w:b/>
          <w:bCs/>
        </w:rPr>
        <w:t xml:space="preserve">EXECUTION</w:t>
      </w:r>
    </w:p>
    <w:p>
      <w:pPr>
        <w:spacing w:after="60" w:before="200"/>
      </w:pPr>
      <w:r>
        <w:rPr>
          <w:b/>
          <w:bCs/>
        </w:rPr>
        <w:t xml:space="preserve">SIGNED for PENNINE BUSINESS BANK PLC</w:t>
      </w:r>
    </w:p>
    <w:p>
      <w:pPr>
        <w:spacing w:after="40"/>
      </w:pPr>
      <w:r>
        <w:t xml:space="preserve">Signature: ____________________________</w:t>
      </w:r>
    </w:p>
    <w:p>
      <w:pPr>
        <w:spacing w:after="40"/>
      </w:pPr>
      <w:r>
        <w:t xml:space="preserve">Name: ____________________________</w:t>
      </w:r>
    </w:p>
    <w:p>
      <w:pPr>
        <w:spacing w:after="120"/>
      </w:pPr>
      <w:r>
        <w:t xml:space="preserve">Title: Authorised Signatory</w:t>
      </w:r>
    </w:p>
    <w:p>
      <w:pPr>
        <w:spacing w:after="60" w:before="200"/>
      </w:pPr>
      <w:r>
        <w:rPr>
          <w:b/>
          <w:bCs/>
        </w:rPr>
        <w:t xml:space="preserve">SIGNED for HARLEDGE FAMILY HOLDINGS LIMITED</w:t>
      </w:r>
    </w:p>
    <w:p>
      <w:pPr>
        <w:spacing w:after="40"/>
      </w:pPr>
      <w:r>
        <w:t xml:space="preserve">Signature: ____________________________</w:t>
      </w:r>
    </w:p>
    <w:p>
      <w:pPr>
        <w:spacing w:after="40"/>
      </w:pPr>
      <w:r>
        <w:t xml:space="preserve">Name: Robert Harledge</w:t>
      </w:r>
    </w:p>
    <w:p>
      <w:pPr>
        <w:spacing w:after="120"/>
      </w:pPr>
      <w:r>
        <w:t xml:space="preserve">Title: Director</w:t>
      </w:r>
    </w:p>
    <w:p>
      <w:pPr>
        <w:spacing w:after="60" w:before="200"/>
      </w:pPr>
      <w:r>
        <w:rPr>
          <w:b/>
          <w:bCs/>
        </w:rPr>
        <w:t xml:space="preserve">SIGNED for HARLEDGE FOODS GROUP LIMITED</w:t>
      </w:r>
    </w:p>
    <w:p>
      <w:pPr>
        <w:spacing w:after="40"/>
      </w:pPr>
      <w:r>
        <w:t xml:space="preserve">Signature: ____________________________</w:t>
      </w:r>
    </w:p>
    <w:p>
      <w:pPr>
        <w:spacing w:after="40"/>
      </w:pPr>
      <w:r>
        <w:t xml:space="preserve">Name: Fiona Carrick</w:t>
      </w:r>
    </w:p>
    <w:p>
      <w:pPr>
        <w:spacing w:after="120"/>
      </w:pPr>
      <w:r>
        <w:t xml:space="preserve">Title: Director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is a limited liability partnership registered in England &amp; Wales.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2026-06-29T14:41:24.133Z</dcterms:created>
  <dcterms:modified xsi:type="dcterms:W3CDTF">2026-06-29T14:41:24.134Z</dcterms:modified>
</cp:coreProperties>
</file>

<file path=docProps/custom.xml><?xml version="1.0" encoding="utf-8"?>
<Properties xmlns="http://schemas.openxmlformats.org/officeDocument/2006/custom-properties" xmlns:vt="http://schemas.openxmlformats.org/officeDocument/2006/docPropsVTypes"/>
</file>