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PROJECT HARBOR</w:t>
      </w:r>
    </w:p>
    <w:p>
      <w:pPr>
        <w:spacing w:after="40"/>
        <w:jc w:val="center"/>
      </w:pPr>
      <w:r>
        <w:rPr>
          <w:b/>
          <w:bCs/>
          <w:sz w:val="24"/>
          <w:szCs w:val="24"/>
        </w:rPr>
        <w:t xml:space="preserve">RESTRUCTURING TERM SHEET</w:t>
      </w:r>
    </w:p>
    <w:p>
      <w:pPr>
        <w:spacing w:after="200"/>
        <w:jc w:val="center"/>
      </w:pPr>
      <w:r>
        <w:rPr>
          <w:i/>
          <w:iCs/>
          <w:color w:val="C00000"/>
          <w:sz w:val="18"/>
          <w:szCs w:val="18"/>
        </w:rPr>
        <w:t xml:space="preserve">Subject to contract  ·  Without prejudice  ·  For discussion only</w:t>
      </w:r>
    </w:p>
    <w:p>
      <w:pPr>
        <w:spacing w:after="120"/>
      </w:pPr>
      <w:r>
        <w:rPr>
          <w:b/>
          <w:bCs/>
        </w:rPr>
        <w:t xml:space="preserve">Dated 14 November 2025</w:t>
      </w:r>
    </w:p>
    <w:p>
      <w:pPr>
        <w:spacing w:after="120"/>
      </w:pPr>
      <w:r>
        <w:t xml:space="preserve">This term sheet summarises the principal terms of the proposed financial restructuring of the Harledge group. It is non-binding (save for the confidentiality and costs provisions) and is subject to credit committee approval, satisfactory documentation and the conditions precedent set out below.</w:t>
      </w:r>
    </w:p>
    <w:p>
      <w:pPr>
        <w:pStyle w:val="Heading2"/>
      </w:pPr>
      <w:r>
        <w:t xml:space="preserve">Parties and existing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Item</w:t>
            </w:r>
          </w:p>
        </w:tc>
        <w:tc>
          <w:tcPr>
            <w:tcW w:type="dxa" w:w="66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Terms</w:t>
            </w:r>
          </w:p>
        </w:tc>
      </w:tr>
      <w:tr>
        <w:trPr>
          <w:tblHeader w:val="false"/>
        </w:trP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Company / Borrower</w:t>
            </w:r>
          </w:p>
        </w:tc>
        <w:tc>
          <w:tcPr>
            <w:tcW w:type="dxa" w:w="66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Harledge Foods Group Limited (the “Company”)</w:t>
            </w:r>
          </w:p>
        </w:tc>
      </w:tr>
      <w:tr>
        <w:trPr>
          <w:tblHeader w:val="false"/>
        </w:trPr>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Senior Lender</w:t>
            </w:r>
          </w:p>
        </w:tc>
        <w:tc>
          <w:tcPr>
            <w:tcW w:type="dxa" w:w="6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Pennine Business Bank plc</w:t>
            </w:r>
          </w:p>
        </w:tc>
      </w:tr>
      <w:tr>
        <w:trPr>
          <w:tblHeader w:val="false"/>
        </w:trP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Shareholder / Subordinated Lender</w:t>
            </w:r>
          </w:p>
        </w:tc>
        <w:tc>
          <w:tcPr>
            <w:tcW w:type="dxa" w:w="66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Harledge Family Holdings Limited (“HFH”)</w:t>
            </w:r>
          </w:p>
        </w:tc>
      </w:tr>
      <w:tr>
        <w:trPr>
          <w:tblHeader w:val="false"/>
        </w:trPr>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Existing senior debt</w:t>
            </w:r>
          </w:p>
        </w:tc>
        <w:tc>
          <w:tcPr>
            <w:tcW w:type="dxa" w:w="6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£30.0m term loan (fully drawn) + £12.0m RCF (£11.4m drawn) = £41.4m outstanding</w:t>
            </w:r>
          </w:p>
        </w:tc>
      </w:tr>
      <w:tr>
        <w:trPr>
          <w:tblHeader w:val="false"/>
        </w:trP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Financial adviser (IBR)</w:t>
            </w:r>
          </w:p>
        </w:tc>
        <w:tc>
          <w:tcPr>
            <w:tcW w:type="dxa" w:w="66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Marlow Tax &amp; Advisory Ltd</w:t>
            </w:r>
          </w:p>
        </w:tc>
      </w:tr>
    </w:tbl>
    <w:p>
      <w:pPr>
        <w:pStyle w:val="Heading2"/>
      </w:pPr>
      <w:r>
        <w:t xml:space="preserve">Key restructuring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Item</w:t>
            </w:r>
          </w:p>
        </w:tc>
        <w:tc>
          <w:tcPr>
            <w:tcW w:type="dxa" w:w="66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Terms</w:t>
            </w:r>
          </w:p>
        </w:tc>
      </w:tr>
      <w:tr>
        <w:trPr>
          <w:tblHeader w:val="false"/>
        </w:trP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New super-senior facility</w:t>
            </w:r>
          </w:p>
        </w:tc>
        <w:tc>
          <w:tcPr>
            <w:tcW w:type="dxa" w:w="66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£8.0m committed term facility provided by the Senior Lender, ranking super-senior to the Existing Facilities, available in two tranches (£5.0m on completion; £3.0m on achievement of the December 2025 EBITDA milestone)</w:t>
            </w:r>
          </w:p>
        </w:tc>
      </w:tr>
      <w:tr>
        <w:trPr>
          <w:tblHeader w:val="false"/>
        </w:trPr>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Shareholder subordinated loan</w:t>
            </w:r>
          </w:p>
        </w:tc>
        <w:tc>
          <w:tcPr>
            <w:tcW w:type="dxa" w:w="6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£5.0m cash injection by HFH, fully subordinated under the Intercreditor Agreement, interest 6.0% PIK, no cash pay during the term</w:t>
            </w:r>
          </w:p>
        </w:tc>
      </w:tr>
      <w:tr>
        <w:trPr>
          <w:tblHeader w:val="false"/>
        </w:trP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Amend &amp; extend</w:t>
            </w:r>
          </w:p>
        </w:tc>
        <w:tc>
          <w:tcPr>
            <w:tcW w:type="dxa" w:w="66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Maturity of the term loan and RCF extended from 14 March 2026 to 30 June 2027 (the “Extended Maturity Date”)</w:t>
            </w:r>
          </w:p>
        </w:tc>
      </w:tr>
      <w:tr>
        <w:trPr>
          <w:tblHeader w:val="false"/>
        </w:trPr>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Amortisation</w:t>
            </w:r>
          </w:p>
        </w:tc>
        <w:tc>
          <w:tcPr>
            <w:tcW w:type="dxa" w:w="6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Term loan amortisation suspended until 31 March 2026; thereafter £0.75m per quarter</w:t>
            </w:r>
          </w:p>
        </w:tc>
      </w:tr>
      <w:tr>
        <w:trPr>
          <w:tblHeader w:val="false"/>
        </w:trP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Margin</w:t>
            </w:r>
          </w:p>
        </w:tc>
        <w:tc>
          <w:tcPr>
            <w:tcW w:type="dxa" w:w="66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Existing Facilities margin increased by 1.25% to 4.75% over SONIA; super-senior facility margin 9.50% over SONIA (2.00% may be paid PIK)</w:t>
            </w:r>
          </w:p>
        </w:tc>
      </w:tr>
      <w:tr>
        <w:trPr>
          <w:tblHeader w:val="false"/>
        </w:trPr>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Covenant reset</w:t>
            </w:r>
          </w:p>
        </w:tc>
        <w:tc>
          <w:tcPr>
            <w:tcW w:type="dxa" w:w="6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Leverage covenant reset to 6.25x (Dec-25), stepping down to 4.50x by Dec-26; minimum liquidity covenant of £2.5m tested monthly; DSCR reintroduced from Jun-26 at 1.05x</w:t>
            </w:r>
          </w:p>
        </w:tc>
      </w:tr>
      <w:tr>
        <w:trPr>
          <w:tblHeader w:val="false"/>
        </w:trP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Equity cure</w:t>
            </w:r>
          </w:p>
        </w:tc>
        <w:tc>
          <w:tcPr>
            <w:tcW w:type="dxa" w:w="66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HFH may cure a covenant breach up to twice in any 12-month period and no more than four times in aggregate</w:t>
            </w:r>
          </w:p>
        </w:tc>
      </w:tr>
      <w:tr>
        <w:trPr>
          <w:tblHeader w:val="false"/>
        </w:trPr>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Security</w:t>
            </w:r>
          </w:p>
        </w:tc>
        <w:tc>
          <w:tcPr>
            <w:tcW w:type="dxa" w:w="6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Existing security confirmed and topped up with a debenture from each Obligor and a charge over the Tenterden freehold; super-senior facility shares the security with super-senior ranking</w:t>
            </w:r>
          </w:p>
        </w:tc>
      </w:tr>
      <w:tr>
        <w:trPr>
          <w:tblHeader w:val="false"/>
        </w:trP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Fees</w:t>
            </w:r>
          </w:p>
        </w:tc>
        <w:tc>
          <w:tcPr>
            <w:tcW w:type="dxa" w:w="66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Amendment fee 1.50% of £41.4m; arrangement fee on new money 2.50% of £8.0m; both payable on completion and capitalised</w:t>
            </w:r>
          </w:p>
        </w:tc>
      </w:tr>
    </w:tbl>
    <w:p>
      <w:pPr>
        <w:pStyle w:val="Heading2"/>
      </w:pPr>
      <w:r>
        <w:t xml:space="preserve">Conditions precedent (summary)</w:t>
      </w:r>
    </w:p>
    <w:p>
      <w:pPr>
        <w:pStyle w:val="ListParagraph"/>
        <w:numPr>
          <w:ilvl w:val="0"/>
          <w:numId w:val="2"/>
        </w:numPr>
        <w:spacing w:after="80"/>
      </w:pPr>
      <w:r>
        <w:t xml:space="preserve">execution of the Amendment and Restatement Agreement and the Intercreditor Agreement;</w:t>
      </w:r>
    </w:p>
    <w:p>
      <w:pPr>
        <w:pStyle w:val="ListParagraph"/>
        <w:numPr>
          <w:ilvl w:val="0"/>
          <w:numId w:val="2"/>
        </w:numPr>
        <w:spacing w:after="80"/>
      </w:pPr>
      <w:r>
        <w:t xml:space="preserve">receipt of the £5.0m HFH subordinated loan into a blocked account;</w:t>
      </w:r>
    </w:p>
    <w:p>
      <w:pPr>
        <w:pStyle w:val="ListParagraph"/>
        <w:numPr>
          <w:ilvl w:val="0"/>
          <w:numId w:val="2"/>
        </w:numPr>
        <w:spacing w:after="80"/>
      </w:pPr>
      <w:r>
        <w:t xml:space="preserve">a satisfactory final IBR and an agreed business plan;</w:t>
      </w:r>
    </w:p>
    <w:p>
      <w:pPr>
        <w:pStyle w:val="ListParagraph"/>
        <w:numPr>
          <w:ilvl w:val="0"/>
          <w:numId w:val="2"/>
        </w:numPr>
        <w:spacing w:after="80"/>
      </w:pPr>
      <w:r>
        <w:t xml:space="preserve">board and shareholder approvals and a solvency confirmation from the directors;</w:t>
      </w:r>
    </w:p>
    <w:p>
      <w:pPr>
        <w:pStyle w:val="ListParagraph"/>
        <w:numPr>
          <w:ilvl w:val="0"/>
          <w:numId w:val="2"/>
        </w:numPr>
        <w:spacing w:after="80"/>
      </w:pPr>
      <w:r>
        <w:t xml:space="preserve">updated security and customary legal opinions.</w:t>
      </w:r>
    </w:p>
    <w:p>
      <w:pPr>
        <w:pStyle w:val="Heading2"/>
      </w:pPr>
      <w:r>
        <w:t xml:space="preserve">Confidentiality and costs (binding)</w:t>
      </w:r>
    </w:p>
    <w:p>
      <w:pPr>
        <w:spacing w:after="120"/>
      </w:pPr>
      <w:r>
        <w:t xml:space="preserve">The parties agree to keep the existence and terms of this term sheet confidential. The Company shall pay the reasonable legal and adviser costs of the Senior Lender in connection with the Restructuring whether or not it completes. These two paragraphs are legally binding; the remainder of this term sheet is not.</w:t>
      </w:r>
    </w:p>
    <w:p>
      <w:pPr>
        <w:spacing w:after="120"/>
      </w:pPr>
      <w:r>
        <w:rPr>
          <w:i/>
          <w:iCs/>
        </w:rPr>
        <w:t xml:space="preserve">Agreed in principle, subject to contract:</w:t>
      </w:r>
    </w:p>
    <w:p>
      <w:pPr>
        <w:spacing w:after="120"/>
      </w:pPr>
      <w:r>
        <w:t xml:space="preserve">For Harledge Foods Group Limited: ____________________   For Pennine Business Bank plc: ____________________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Whitfield Carter LLP is a limited liability partnership registered in England &amp; Wales.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2026-06-29T14:38:51.567Z</dcterms:created>
  <dcterms:modified xsi:type="dcterms:W3CDTF">2026-06-29T14:38:51.567Z</dcterms:modified>
</cp:coreProperties>
</file>

<file path=docProps/custom.xml><?xml version="1.0" encoding="utf-8"?>
<Properties xmlns="http://schemas.openxmlformats.org/officeDocument/2006/custom-properties" xmlns:vt="http://schemas.openxmlformats.org/officeDocument/2006/docPropsVTypes"/>
</file>