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C00000"/>
        </w:rPr>
        <w:t xml:space="preserve">PRIVILEGED AND CONFIDENTIAL — LEGAL ADVICE</w:t>
      </w:r>
    </w:p>
    <w:p>
      <w:pPr>
        <w:spacing w:after="40"/>
        <w:jc w:val="center"/>
      </w:pPr>
      <w:r>
        <w:rPr>
          <w:b/>
          <w:bCs/>
          <w:sz w:val="26"/>
          <w:szCs w:val="26"/>
        </w:rPr>
        <w:t xml:space="preserve">ADVICE NOTE</w:t>
      </w:r>
    </w:p>
    <w:p>
      <w:pPr>
        <w:spacing w:after="200"/>
        <w:jc w:val="center"/>
      </w:pPr>
      <w:r>
        <w:rPr>
          <w:color w:val="595959"/>
          <w:sz w:val="18"/>
          <w:szCs w:val="18"/>
        </w:rPr>
        <w:t xml:space="preserve">Project Aquilo — Calderwater mark-up of the Supply Agreement: key issues and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sz w:val="18"/>
                <w:szCs w:val="18"/>
              </w:rPr>
              <w:t xml:space="preserve">To</w:t>
            </w:r>
          </w:p>
        </w:tc>
        <w:tc>
          <w:tcPr>
            <w:tcW w:type="dxa" w:w="7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sz w:val="18"/>
                <w:szCs w:val="18"/>
              </w:rPr>
              <w:t xml:space="preserve">Gavin Harrow (MD); Rebecca Lund (FD); Martin Calloway (Q&amp;PD), Harrow Precision Engineering Limited</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From</w:t>
            </w:r>
          </w:p>
        </w:tc>
        <w:tc>
          <w:tcPr>
            <w:tcW w:type="dxa" w:w="7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Sarah Whitfield / Elena Marchetti, Whitfield Carter LLP</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Date</w:t>
            </w:r>
          </w:p>
        </w:tc>
        <w:tc>
          <w:tcPr>
            <w:tcW w:type="dxa" w:w="7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2 March 2026</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Re</w:t>
            </w:r>
          </w:p>
        </w:tc>
        <w:tc>
          <w:tcPr>
            <w:tcW w:type="dxa" w:w="79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Thwaite Mercer mark-up of the Master Manufacture and Supply Agreement (v2) dated 25 February 2026</w:t>
            </w:r>
          </w:p>
        </w:tc>
      </w:tr>
    </w:tbl>
    <w:p>
      <w:pPr>
        <w:pStyle w:val="Heading1"/>
      </w:pPr>
      <w:r>
        <w:t xml:space="preserve">1.  Purpose</w:t>
      </w:r>
    </w:p>
    <w:p>
      <w:pPr>
        <w:spacing w:after="120"/>
      </w:pPr>
      <w:r>
        <w:t xml:space="preserve">This note summarises the principal changes made by Calderwater’s solicitors, Thwaite Mercer LLP, in their mark-up of the draft Agreement (v2), assesses the commercial and legal risk of each, and sets out our recommended response. We have prepared a clean revised draft (v3) reflecting the positions recommended below, which we will send to Thwaite Mercer once you have confirmed your instructions.</w:t>
      </w:r>
    </w:p>
    <w:p>
      <w:pPr>
        <w:pStyle w:val="Heading1"/>
      </w:pPr>
      <w:r>
        <w:t xml:space="preserve">2.  Limitation of liability (clause 11.3)</w:t>
      </w:r>
    </w:p>
    <w:p>
      <w:pPr>
        <w:spacing w:after="120"/>
      </w:pPr>
      <w:r>
        <w:t xml:space="preserve">Calderwater has deleted our liability cap of “100% of the Charges paid in the preceding 12 months” and substituted “150% of the Charges paid in the preceding 12 months”, and has carved the IP indemnity out of the cap entirely (i.e. uncapped). They have also moved the liquidated damages for late delivery so that they sit outside the cap.</w:t>
      </w:r>
    </w:p>
    <w:p>
      <w:pPr>
        <w:spacing w:after="120"/>
      </w:pPr>
      <w:r>
        <w:t xml:space="preserve">Assessment: An uncapped IP indemnity and an uncapped pool of LDs are unattractive and difficult to insure. A percentage-of-Charges cap is also volatile because it tracks order volume. We recommend resisting the percentage approach and instead offering a fixed aggregate cap, which is easier to insure against and gives certainty.</w:t>
      </w:r>
    </w:p>
    <w:p>
      <w:pPr>
        <w:spacing w:after="120"/>
      </w:pPr>
      <w:r>
        <w:rPr>
          <w:b/>
          <w:bCs/>
        </w:rPr>
        <w:t xml:space="preserve">Recommendation: </w:t>
      </w:r>
      <w:r>
        <w:t xml:space="preserve">Offer a fixed aggregate cap of £4,000,000 (£4 million), with liquidated damages counting towards (i.e. inside) the cap, and a separate sub-cap of £5,000,000 (£5 million) for the IP infringement indemnity. Maintain the exclusion of indirect and consequential loss in clause 11.2.</w:t>
      </w:r>
    </w:p>
    <w:p>
      <w:pPr>
        <w:pStyle w:val="Heading1"/>
      </w:pPr>
      <w:r>
        <w:t xml:space="preserve">3.  Minimum volume commitment and shortfall (clause 6)</w:t>
      </w:r>
    </w:p>
    <w:p>
      <w:pPr>
        <w:spacing w:after="120"/>
      </w:pPr>
      <w:r>
        <w:t xml:space="preserve">Calderwater has reduced the shortfall percentage from 15% to nil — effectively deleting the shortfall payment — while retaining the headline Minimum Commitment of £3,500,000 as a non-binding target.</w:t>
      </w:r>
    </w:p>
    <w:p>
      <w:pPr>
        <w:spacing w:after="120"/>
      </w:pPr>
      <w:r>
        <w:t xml:space="preserve">Assessment: The Minimum Commitment underpins the capacity and buffer-stock investment you are making to service this framework. Removing the shortfall payment removes the protection entirely. However, 15% may be more than is needed to protect your committed costs.</w:t>
      </w:r>
    </w:p>
    <w:p>
      <w:pPr>
        <w:spacing w:after="120"/>
      </w:pPr>
      <w:r>
        <w:rPr>
          <w:b/>
          <w:bCs/>
        </w:rPr>
        <w:t xml:space="preserve">Recommendation: </w:t>
      </w:r>
      <w:r>
        <w:t xml:space="preserve">Reject the deletion. Hold the Minimum Commitment as a binding commitment and offer to move the shortfall percentage from 15% to 8% of the difference between the Minimum Commitment and the value of orders actually placed. 8% is defensible as a genuine pre-estimate of your committed overhead and is more likely to be accepted than 15%.</w:t>
      </w:r>
    </w:p>
    <w:p>
      <w:pPr>
        <w:pStyle w:val="Heading1"/>
      </w:pPr>
      <w:r>
        <w:t xml:space="preserve">4.  Payment terms (clause 8.1)</w:t>
      </w:r>
    </w:p>
    <w:p>
      <w:pPr>
        <w:spacing w:after="120"/>
      </w:pPr>
      <w:r>
        <w:t xml:space="preserve">Calderwater has changed the payment period from 45 days to 60 days.</w:t>
      </w:r>
    </w:p>
    <w:p>
      <w:pPr>
        <w:spacing w:after="120"/>
      </w:pPr>
      <w:r>
        <w:rPr>
          <w:b/>
          <w:bCs/>
        </w:rPr>
        <w:t xml:space="preserve">Recommendation: </w:t>
      </w:r>
      <w:r>
        <w:t xml:space="preserve">Resist. Hold 45 days. 60-day terms materially worsen your working-capital position on a framework of this size. We suggest holding firm; this is a point on which you have leverage given the Minimum Commitment concession in section 3.</w:t>
      </w:r>
    </w:p>
    <w:p>
      <w:pPr>
        <w:pStyle w:val="Heading1"/>
      </w:pPr>
      <w:r>
        <w:t xml:space="preserve">5.  Liquidated damages for late delivery (clause 5.2)</w:t>
      </w:r>
    </w:p>
    <w:p>
      <w:pPr>
        <w:spacing w:after="120"/>
      </w:pPr>
      <w:r>
        <w:t xml:space="preserve">Calderwater has increased the LD rate from 0.5% to 1% of the price of late Goods per week and the cap from 10% to 20%, and has deleted the “sole and exclusive remedy” wording (which would expose you to general damages for delay in addition to LDs).</w:t>
      </w:r>
    </w:p>
    <w:p>
      <w:pPr>
        <w:spacing w:after="120"/>
      </w:pPr>
      <w:r>
        <w:rPr>
          <w:b/>
          <w:bCs/>
        </w:rPr>
        <w:t xml:space="preserve">Recommendation: </w:t>
      </w:r>
      <w:r>
        <w:t xml:space="preserve">Restore 0.5% per week and a 10% cap, and restore the “sole and exclusive remedy” wording. The “sole and exclusive remedy” point is important: without it, the LDs cease to be your cap on delay exposure. This is a priority point to recover.</w:t>
      </w:r>
    </w:p>
    <w:p>
      <w:pPr>
        <w:pStyle w:val="Heading1"/>
      </w:pPr>
      <w:r>
        <w:t xml:space="preserve">6.  Warranty period (clause 9.1)</w:t>
      </w:r>
    </w:p>
    <w:p>
      <w:pPr>
        <w:spacing w:after="120"/>
      </w:pPr>
      <w:r>
        <w:t xml:space="preserve">Calderwater has extended the warranty from 24 months to 36 months from delivery.</w:t>
      </w:r>
    </w:p>
    <w:p>
      <w:pPr>
        <w:spacing w:after="120"/>
      </w:pPr>
      <w:r>
        <w:rPr>
          <w:b/>
          <w:bCs/>
        </w:rPr>
        <w:t xml:space="preserve">Recommendation: </w:t>
      </w:r>
      <w:r>
        <w:t xml:space="preserve">Hold 24 months. This is consistent with your standard terms and your component suppliers’ back-to-back warranties. If a concession is needed to close, 24 months from delivery or 18 months from commissioning (whichever is the later) is the most we would advise.</w:t>
      </w:r>
    </w:p>
    <w:p>
      <w:pPr>
        <w:pStyle w:val="Heading1"/>
      </w:pPr>
      <w:r>
        <w:t xml:space="preserve">7.  Termination for convenience (clause 12.2)</w:t>
      </w:r>
    </w:p>
    <w:p>
      <w:pPr>
        <w:spacing w:after="120"/>
      </w:pPr>
      <w:r>
        <w:t xml:space="preserve">Calderwater has brought forward its right to terminate for convenience from “after the third anniversary” to “at any time on 3 months’ notice”.</w:t>
      </w:r>
    </w:p>
    <w:p>
      <w:pPr>
        <w:spacing w:after="120"/>
      </w:pPr>
      <w:r>
        <w:rPr>
          <w:b/>
          <w:bCs/>
        </w:rPr>
        <w:t xml:space="preserve">Recommendation: </w:t>
      </w:r>
      <w:r>
        <w:t xml:space="preserve">Resist strongly. An early, short-notice termination right undermines the whole basis of the Minimum Commitment and your investment case. Hold the post-third-anniversary, 6 months’ notice position, and make clear that the Minimum Commitment for the relevant Contract Year survives termination (pro-rated).</w:t>
      </w:r>
    </w:p>
    <w:p>
      <w:pPr>
        <w:pStyle w:val="Heading1"/>
      </w:pPr>
      <w:r>
        <w:t xml:space="preserve">8.  Summary of recommended landing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Issue</w:t>
            </w:r>
          </w:p>
        </w:tc>
        <w:tc>
          <w:tcPr>
            <w:tcW w:type="dxa" w:w="33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Their v2</w:t>
            </w:r>
          </w:p>
        </w:tc>
        <w:tc>
          <w:tcPr>
            <w:tcW w:type="dxa" w:w="33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Recommended</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Liability cap</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150% of Charges; IP uncapped; LDs outside</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£4,000,000 aggregate; IP sub-cap £5,000,000; LDs inside</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Shortfall %</w:t>
            </w:r>
          </w:p>
        </w:tc>
        <w:tc>
          <w:tcPr>
            <w:tcW w:type="dxa" w:w="33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Nil (deleted)</w:t>
            </w:r>
          </w:p>
        </w:tc>
        <w:tc>
          <w:tcPr>
            <w:tcW w:type="dxa" w:w="33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8% of shortfall</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Payment</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60 days</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45 days</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LDs</w:t>
            </w:r>
          </w:p>
        </w:tc>
        <w:tc>
          <w:tcPr>
            <w:tcW w:type="dxa" w:w="33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1%/week, 20% cap, no sole remedy</w:t>
            </w:r>
          </w:p>
        </w:tc>
        <w:tc>
          <w:tcPr>
            <w:tcW w:type="dxa" w:w="33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0.5%/week, 10% cap, sole &amp; exclusive remedy</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Warranty</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36 months</w:t>
            </w:r>
          </w:p>
        </w:tc>
        <w:tc>
          <w:tcPr>
            <w:tcW w:type="dxa" w:w="33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24 months</w:t>
            </w:r>
          </w:p>
        </w:tc>
      </w:tr>
      <w:tr>
        <w:trPr>
          <w:tblHeader w:val="false"/>
        </w:trP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Termination for convenience</w:t>
            </w:r>
          </w:p>
        </w:tc>
        <w:tc>
          <w:tcPr>
            <w:tcW w:type="dxa" w:w="33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Any time, 3 months</w:t>
            </w:r>
          </w:p>
        </w:tc>
        <w:tc>
          <w:tcPr>
            <w:tcW w:type="dxa" w:w="33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After year 3, 6 months</w:t>
            </w:r>
          </w:p>
        </w:tc>
      </w:tr>
    </w:tbl>
    <w:p>
      <w:pPr>
        <w:spacing w:after="120"/>
      </w:pPr>
      <w:r>
        <w:t xml:space="preserve"/>
      </w:r>
    </w:p>
    <w:p>
      <w:pPr>
        <w:spacing w:after="120"/>
      </w:pPr>
      <w:r>
        <w:t xml:space="preserve">Please confirm whether you are content for us to send v3 to Thwaite Mercer on the basis set out above. We are happy to discuss any of the points by phone.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20" w:before="80"/>
    </w:pPr>
    <w:r>
      <w:rPr>
        <w:color w:val="808080"/>
        <w:sz w:val="13"/>
        <w:szCs w:val="13"/>
      </w:rPr>
      <w:t xml:space="preserve">Whitfield Carter LLP is a limited liability partnership registered in England and Wales (OC418827). A list of members is open to inspection at the registered office. Authorised and regulated by the Solicitors Regulation Authority.</w:t>
    </w:r>
  </w:p>
  <w:p>
    <w:pPr>
      <w:jc w:val="right"/>
    </w:pPr>
    <w:r>
      <w:rPr>
        <w:color w:val="808080"/>
        <w:sz w:val="14"/>
        <w:szCs w:val="14"/>
      </w:rPr>
      <w:t xml:space="preserve">Confidential and may be legally privileged.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864"/>
        <w:sz w:val="26"/>
        <w:szCs w:val="26"/>
      </w:rPr>
      <w:t xml:space="preserve">Whitfield Carter LLP</w:t>
    </w:r>
  </w:p>
  <w:p>
    <w:pPr>
      <w:pBdr>
        <w:bottom w:val="single" w:color="1F3864" w:sz="6" w:space="4"/>
      </w:pBdr>
      <w:spacing w:after="200"/>
    </w:pPr>
    <w:r>
      <w:rPr>
        <w:color w:val="595959"/>
        <w:sz w:val="16"/>
        <w:szCs w:val="16"/>
      </w:rPr>
      <w:t xml:space="preserve">22 Bishopsgate, London EC2N 4BQ   ·   Tel +44 (0)20 7946 0000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2026-06-28T19:37:13.927Z</dcterms:created>
  <dcterms:modified xsi:type="dcterms:W3CDTF">2026-06-28T19:37:13.927Z</dcterms:modified>
</cp:coreProperties>
</file>

<file path=docProps/custom.xml><?xml version="1.0" encoding="utf-8"?>
<Properties xmlns="http://schemas.openxmlformats.org/officeDocument/2006/custom-properties" xmlns:vt="http://schemas.openxmlformats.org/officeDocument/2006/docPropsVTypes"/>
</file>