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19 January 2026</w:t>
      </w:r>
    </w:p>
    <w:p>
      <w:pPr>
        <w:spacing w:after="120"/>
      </w:pPr>
      <w:r>
        <w:rPr>
          <w:b/>
          <w:bCs/>
        </w:rPr>
        <w:t xml:space="preserve">Strictly private and confidential</w:t>
      </w:r>
    </w:p>
    <w:p>
      <w:pPr>
        <w:spacing w:after="120"/>
      </w:pPr>
      <w:r>
        <w:t xml:space="preserve">Gavin Harrow</w:t>
      </w:r>
    </w:p>
    <w:p>
      <w:pPr>
        <w:spacing w:after="120"/>
      </w:pPr>
      <w:r>
        <w:t xml:space="preserve">Managing Director</w:t>
      </w:r>
    </w:p>
    <w:p>
      <w:pPr>
        <w:spacing w:after="120"/>
      </w:pPr>
      <w:r>
        <w:t xml:space="preserve">Harrow Precision Engineering Limited</w:t>
      </w:r>
    </w:p>
    <w:p>
      <w:pPr>
        <w:spacing w:after="200"/>
      </w:pPr>
      <w:r>
        <w:t xml:space="preserve">Brookfield Works, Ashworth Road, Trafford Park, Manchester M17 1RJ</w:t>
      </w:r>
    </w:p>
    <w:p>
      <w:pPr>
        <w:spacing w:after="120"/>
      </w:pPr>
      <w:r>
        <w:t xml:space="preserve">Dear Gavin</w:t>
      </w:r>
    </w:p>
    <w:p>
      <w:pPr>
        <w:spacing w:after="160"/>
      </w:pPr>
      <w:r>
        <w:rPr>
          <w:b/>
          <w:bCs/>
        </w:rPr>
        <w:t xml:space="preserve">Engagement: Master Manufacture and Supply Agreement with Calderwater Utilities Limited (“Project Aquilo”)</w:t>
      </w:r>
    </w:p>
    <w:p>
      <w:pPr>
        <w:spacing w:after="120"/>
      </w:pPr>
      <w:r>
        <w:t xml:space="preserve">Thank you for instructing Whitfield Carter LLP in connection with the proposed long-term framework arrangement under which Harrow Precision Engineering Limited (“Harrow”, “you”) will manufacture and supply centrifugal and submersible pump sets and associated spares and services to Calderwater Utilities Limited (“Calderwater”) for use across its wastewater and clean-water treatment estate. This letter, together with the enclosed Standard Terms of Business, sets out the basis on which we will act for you.</w:t>
      </w:r>
    </w:p>
    <w:p>
      <w:pPr>
        <w:pStyle w:val="Heading1"/>
      </w:pPr>
      <w:r>
        <w:t xml:space="preserve">1.  Scope of our engagement</w:t>
      </w:r>
    </w:p>
    <w:p>
      <w:pPr>
        <w:spacing w:after="120"/>
      </w:pPr>
      <w:r>
        <w:t xml:space="preserve">Our instructions are to advise on, draft and negotiate the suite of contractual documents required to put the framework supply arrangement in place, and in particular to:</w:t>
      </w:r>
    </w:p>
    <w:p>
      <w:pPr>
        <w:pStyle w:val="ListParagraph"/>
        <w:numPr>
          <w:ilvl w:val="0"/>
          <w:numId w:val="2"/>
        </w:numPr>
        <w:spacing w:after="60"/>
      </w:pPr>
      <w:r>
        <w:t xml:space="preserve">review the heads of terms agreed in principle between you and Calderwater and advise on their legal effect and any commercial and legal risks;</w:t>
      </w:r>
    </w:p>
    <w:p>
      <w:pPr>
        <w:pStyle w:val="ListParagraph"/>
        <w:numPr>
          <w:ilvl w:val="0"/>
          <w:numId w:val="2"/>
        </w:numPr>
        <w:spacing w:after="60"/>
      </w:pPr>
      <w:r>
        <w:t xml:space="preserve">prepare and negotiate a Master Manufacture and Supply Agreement (the “Agreement”), including the technical specification schedule, the service level and delivery schedule, the pricing and indexation schedule and the form of call-off purchase order;</w:t>
      </w:r>
    </w:p>
    <w:p>
      <w:pPr>
        <w:pStyle w:val="ListParagraph"/>
        <w:numPr>
          <w:ilvl w:val="0"/>
          <w:numId w:val="2"/>
        </w:numPr>
        <w:spacing w:after="60"/>
      </w:pPr>
      <w:r>
        <w:t xml:space="preserve">advise on the allocation of risk, in particular limitations and exclusions of liability, liquidated damages for late delivery, warranties, intellectual property and indemnities, product liability and insurance;</w:t>
      </w:r>
    </w:p>
    <w:p>
      <w:pPr>
        <w:pStyle w:val="ListParagraph"/>
        <w:numPr>
          <w:ilvl w:val="0"/>
          <w:numId w:val="2"/>
        </w:numPr>
        <w:spacing w:after="60"/>
      </w:pPr>
      <w:r>
        <w:t xml:space="preserve">advise on the minimum volume commitment and shortfall mechanics, price review and indexation, and termination and exit provisions; and</w:t>
      </w:r>
    </w:p>
    <w:p>
      <w:pPr>
        <w:pStyle w:val="ListParagraph"/>
        <w:numPr>
          <w:ilvl w:val="0"/>
          <w:numId w:val="2"/>
        </w:numPr>
        <w:spacing w:after="60"/>
      </w:pPr>
      <w:r>
        <w:t xml:space="preserve">assist with execution and the steps required to bring the Agreement into effect.</w:t>
      </w:r>
    </w:p>
    <w:p>
      <w:pPr>
        <w:spacing w:after="120"/>
      </w:pPr>
      <w:r>
        <w:t xml:space="preserve">Our engagement does not extend to advising on tax, on the regulatory regime applicable to Calderwater as a statutory undertaker, or on any matters of the law of any jurisdiction other than the law of England and Wales. Should specialist input be required we will discuss the position with you before incurring any further cost.</w:t>
      </w:r>
    </w:p>
    <w:p>
      <w:pPr>
        <w:pStyle w:val="Heading1"/>
      </w:pPr>
      <w:r>
        <w:t xml:space="preserve">2.  Your team</w:t>
      </w:r>
    </w:p>
    <w:p>
      <w:pPr>
        <w:spacing w:after="120"/>
      </w:pPr>
      <w:r>
        <w:t xml:space="preserve">This matter will be led by Sarah Whitfield, Partner, who has overall responsibility for the engagement. The day-to-day conduct of the matter will be handled by Elena Marchetti, Associate. Sarah and Elena will draw on other members of the firm where it is cost-effective to do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Fee earner</w:t>
            </w:r>
          </w:p>
        </w:tc>
        <w:tc>
          <w:tcPr>
            <w:tcW w:type="dxa" w:w="3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Role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Hourly rate (excl. VAT)</w:t>
            </w:r>
          </w:p>
        </w:tc>
      </w:tr>
      <w:tr>
        <w:trPr>
          <w:tblHeader w:val="false"/>
        </w:trP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Sarah Whitfield</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Partner</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£620</w:t>
            </w:r>
          </w:p>
        </w:tc>
      </w:tr>
      <w:tr>
        <w:trPr>
          <w:tblHeader w:val="false"/>
        </w:trPr>
        <w:tc>
          <w:tcPr>
            <w:tcW w:type="dxa" w:w="3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Elena Marchetti</w:t>
            </w:r>
          </w:p>
        </w:tc>
        <w:tc>
          <w:tcPr>
            <w:tcW w:type="dxa" w:w="3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Associate</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£340</w:t>
            </w:r>
          </w:p>
        </w:tc>
      </w:tr>
      <w:tr>
        <w:trPr>
          <w:tblHeader w:val="false"/>
        </w:trP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Trainee / paralegal</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Support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£180</w:t>
            </w:r>
          </w:p>
        </w:tc>
      </w:tr>
    </w:tbl>
    <w:p>
      <w:pPr>
        <w:pStyle w:val="Heading1"/>
      </w:pPr>
      <w:r>
        <w:t xml:space="preserve">3.  Fees, disbursements and estimate</w:t>
      </w:r>
    </w:p>
    <w:p>
      <w:pPr>
        <w:spacing w:after="120"/>
      </w:pPr>
      <w:r>
        <w:t xml:space="preserve">Our charges are calculated principally by reference to the time spent by the fee earners working on the matter at the hourly rates set out above, reviewed annually. Time is recorded in units of six minutes. We will also charge for disbursements (such as Companies House fees and courier charges) incurred on your behalf.</w:t>
      </w:r>
    </w:p>
    <w:p>
      <w:pPr>
        <w:spacing w:after="120"/>
      </w:pPr>
      <w:r>
        <w:t xml:space="preserve">On the basis of our current understanding of the transaction, we estimate our fees for taking the Agreement from heads of terms to signature will be in the region of £32,000 to £40,000 plus VAT and disbursements. This is an estimate only and not a fixed fee or a cap. If it becomes likely that our fees will materially exceed this range — for example if negotiation of the limitation of liability or the minimum volume commitment proves protracted — we will tell you promptly and agree a revised estimate with you before continuing.</w:t>
      </w:r>
    </w:p>
    <w:p>
      <w:pPr>
        <w:pStyle w:val="Heading1"/>
      </w:pPr>
      <w:r>
        <w:t xml:space="preserve">4.  Billing</w:t>
      </w:r>
    </w:p>
    <w:p>
      <w:pPr>
        <w:spacing w:after="120"/>
      </w:pPr>
      <w:r>
        <w:t xml:space="preserve">We will render interim invoices monthly in arrears, with a final invoice on completion of the matter. Our invoices are payable within 30 days of the date of invoice. We reserve the right to charge interest on overdue amounts at 4% above the base rate of the Bank of England from time to time.</w:t>
      </w:r>
    </w:p>
    <w:p>
      <w:pPr>
        <w:pStyle w:val="Heading1"/>
      </w:pPr>
      <w:r>
        <w:t xml:space="preserve">5.  Anti-money laundering and identification</w:t>
      </w:r>
    </w:p>
    <w:p>
      <w:pPr>
        <w:spacing w:after="120"/>
      </w:pPr>
      <w:r>
        <w:t xml:space="preserve">We are required by law to verify the identity of our clients. We have completed our standard client due diligence for Harrow from prior matters; please let us know promptly of any change in your ownership or control.</w:t>
      </w:r>
    </w:p>
    <w:p>
      <w:pPr>
        <w:pStyle w:val="Heading1"/>
      </w:pPr>
      <w:r>
        <w:t xml:space="preserve">6.  Confidentiality and conflicts</w:t>
      </w:r>
    </w:p>
    <w:p>
      <w:pPr>
        <w:spacing w:after="120"/>
      </w:pPr>
      <w:r>
        <w:t xml:space="preserve">We treat all information you give us as confidential. We have carried out a conflict check and are not aware of any conflict of interest that would prevent us from acting for you on this matter. We do not act for Calderwater Utilities Limited or Thwaite Mercer LLP.</w:t>
      </w:r>
    </w:p>
    <w:p>
      <w:pPr>
        <w:pStyle w:val="Heading1"/>
      </w:pPr>
      <w:r>
        <w:t xml:space="preserve">7.  Standard Terms of Business</w:t>
      </w:r>
    </w:p>
    <w:p>
      <w:pPr>
        <w:spacing w:after="120"/>
      </w:pPr>
      <w:r>
        <w:t xml:space="preserve">This letter should be read together with our enclosed Standard Terms of Business, which form part of our agreement with you and contain important provisions including a limitation on our own liability to you. Please raise any questions on those terms before confirming your instructions.</w:t>
      </w:r>
    </w:p>
    <w:p>
      <w:pPr>
        <w:pStyle w:val="Heading1"/>
      </w:pPr>
      <w:r>
        <w:t xml:space="preserve">8.  Acceptance</w:t>
      </w:r>
    </w:p>
    <w:p>
      <w:pPr>
        <w:spacing w:after="120"/>
      </w:pPr>
      <w:r>
        <w:t xml:space="preserve">If the terms set out in this letter and the enclosed Standard Terms of Business are acceptable, please confirm your agreement by signing and returning the enclosed copy. We are very pleased to be acting for Harrow again and look forward to working with you on this matter.</w:t>
      </w:r>
    </w:p>
    <w:p>
      <w:pPr>
        <w:spacing w:after="280"/>
      </w:pPr>
      <w:r>
        <w:t xml:space="preserve">Yours sincerely</w:t>
      </w:r>
    </w:p>
    <w:p>
      <w:pPr>
        <w:spacing w:after="120"/>
      </w:pPr>
      <w:r>
        <w:t xml:space="preserve">____________________________</w:t>
      </w:r>
    </w:p>
    <w:p>
      <w:pPr>
        <w:spacing w:after="120"/>
      </w:pPr>
      <w:r>
        <w:rPr>
          <w:b/>
          <w:bCs/>
        </w:rPr>
        <w:t xml:space="preserve">Sarah Whitfield</w:t>
      </w:r>
    </w:p>
    <w:p>
      <w:pPr>
        <w:spacing w:after="120"/>
      </w:pPr>
      <w:r>
        <w:t xml:space="preserve">Partner, for and on behalf of Whitfield Carter LLP</w:t>
      </w:r>
    </w:p>
    <w:p>
      <w:pPr>
        <w:spacing w:after="240"/>
      </w:pPr>
      <w:r>
        <w:t xml:space="preserve">Direct: +44 (0)20 7946 0021  ·  sarah.whitfield@whitfieldcarter.com</w:t>
      </w:r>
    </w:p>
    <w:p>
      <w:pPr>
        <w:spacing w:after="120"/>
      </w:pPr>
      <w:r>
        <w:rPr>
          <w:i/>
          <w:iCs/>
        </w:rPr>
        <w:t xml:space="preserve">Enc.  Standard Terms of Business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after="20" w:before="80"/>
    </w:pPr>
    <w:r>
      <w:rPr>
        <w:color w:val="808080"/>
        <w:sz w:val="13"/>
        <w:szCs w:val="13"/>
      </w:rPr>
      <w:t xml:space="preserve">Whitfield Carter LLP is a limited liability partnership registered in England and Wales (OC418827). A list of members is open to inspection at the registered office. Authorised and regulated by the Solicitors Regulation Authority.</w:t>
    </w:r>
  </w:p>
  <w:p>
    <w:pPr>
      <w:jc w:val="right"/>
    </w:pPr>
    <w:r>
      <w:rPr>
        <w:color w:val="808080"/>
        <w:sz w:val="14"/>
        <w:szCs w:val="14"/>
      </w:rPr>
      <w:t xml:space="preserve">Confidential and may be legally privileged.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color w:val="1F3864"/>
        <w:sz w:val="26"/>
        <w:szCs w:val="26"/>
      </w:rPr>
      <w:t xml:space="preserve">Whitfield Carter LLP</w:t>
    </w:r>
  </w:p>
  <w:p>
    <w:pPr>
      <w:pBdr>
        <w:bottom w:val="single" w:color="1F3864" w:sz="6" w:space="4"/>
      </w:pBdr>
      <w:spacing w:after="200"/>
    </w:pPr>
    <w:r>
      <w:rPr>
        <w:color w:val="595959"/>
        <w:sz w:val="16"/>
        <w:szCs w:val="16"/>
      </w:rPr>
      <w:t xml:space="preserve">22 Bishopsgate, London EC2N 4BQ   ·   Tel +44 (0)20 7946 0000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2026-06-28T19:37:13.717Z</dcterms:created>
  <dcterms:modified xsi:type="dcterms:W3CDTF">2026-06-28T19:37:13.717Z</dcterms:modified>
</cp:coreProperties>
</file>

<file path=docProps/custom.xml><?xml version="1.0" encoding="utf-8"?>
<Properties xmlns="http://schemas.openxmlformats.org/officeDocument/2006/custom-properties" xmlns:vt="http://schemas.openxmlformats.org/officeDocument/2006/docPropsVTypes"/>
</file>