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SCHEDULE 2 — SERVICE LEVELS AND DELIVERY</w:t>
      </w:r>
    </w:p>
    <w:p>
      <w:pPr>
        <w:spacing w:after="240"/>
        <w:jc w:val="center"/>
      </w:pPr>
      <w:r>
        <w:rPr>
          <w:color w:val="595959"/>
          <w:sz w:val="18"/>
          <w:szCs w:val="18"/>
        </w:rPr>
        <w:t xml:space="preserve">Master Manufacture and Supply Agreement — Harrow / Calderwater</w:t>
      </w:r>
    </w:p>
    <w:p>
      <w:pPr>
        <w:spacing w:after="120"/>
      </w:pPr>
      <w:r>
        <w:t xml:space="preserve">This controlled document forms Schedule 2 to the Master Manufacture and Supply Agreement. It sets out the delivery lead times, the Service Levels for commissioning and maintenance, the call-out response targets and the service credit regime.</w:t>
      </w:r>
    </w:p>
    <w:p>
      <w:pPr>
        <w:pStyle w:val="Heading1"/>
      </w:pPr>
      <w:r>
        <w:t xml:space="preserve">1.  Delivery lead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Goods / Service</w:t>
            </w:r>
          </w:p>
        </w:tc>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Standard lead time (from PO acknowledgement)</w:t>
            </w:r>
          </w:p>
        </w:tc>
      </w:tr>
      <w:tr>
        <w:trPr>
          <w:tblHeader w:val="false"/>
        </w:trPr>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HX-range pump sets</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10 weeks</w:t>
            </w:r>
          </w:p>
        </w:tc>
      </w:tr>
      <w:tr>
        <w:trPr>
          <w:tblHeader w:val="false"/>
        </w:trPr>
        <w:tc>
          <w:tcPr>
            <w:tcW w:type="dxa" w:w="5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SX-range pump sets</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8 weeks</w:t>
            </w:r>
          </w:p>
        </w:tc>
      </w:tr>
      <w:tr>
        <w:trPr>
          <w:tblHeader w:val="false"/>
        </w:trPr>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Control panels (CP-STD)</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8 weeks</w:t>
            </w:r>
          </w:p>
        </w:tc>
      </w:tr>
      <w:tr>
        <w:trPr>
          <w:tblHeader w:val="false"/>
        </w:trPr>
        <w:tc>
          <w:tcPr>
            <w:tcW w:type="dxa" w:w="5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Spares (stock items)</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5 Business Days</w:t>
            </w:r>
          </w:p>
        </w:tc>
      </w:tr>
      <w:tr>
        <w:trPr>
          <w:tblHeader w:val="false"/>
        </w:trPr>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Spares (non-stock)</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4 weeks</w:t>
            </w:r>
          </w:p>
        </w:tc>
      </w:tr>
    </w:tbl>
    <w:p>
      <w:pPr>
        <w:pStyle w:val="Heading1"/>
      </w:pPr>
      <w:r>
        <w:t xml:space="preserve">2.  Commissioning and FAT support</w:t>
      </w:r>
    </w:p>
    <w:p>
      <w:pPr>
        <w:spacing w:after="120"/>
      </w:pPr>
      <w:r>
        <w:t xml:space="preserve">The Supplier shall provide a commissioning engineer to attend site for the commissioning of each pump set and shall support factory acceptance testing as set out in Schedule 1. Commissioning shall be completed within 10 Business Days of the Customer confirming site readiness.</w:t>
      </w:r>
    </w:p>
    <w:p>
      <w:pPr>
        <w:pStyle w:val="Heading1"/>
      </w:pPr>
      <w:r>
        <w:t xml:space="preserve">3.  Planned maintenance</w:t>
      </w:r>
    </w:p>
    <w:p>
      <w:pPr>
        <w:spacing w:after="120"/>
      </w:pPr>
      <w:r>
        <w:t xml:space="preserve">The Supplier shall carry out planned-maintenance visits in accordance with the agreed maintenance schedule (twice per Contract Year for each installed pump set covered by a maintenance call-off). Each visit shall include inspection, vibration analysis and a written condition report.</w:t>
      </w:r>
    </w:p>
    <w:p>
      <w:pPr>
        <w:pStyle w:val="Heading1"/>
      </w:pPr>
      <w:r>
        <w:t xml:space="preserve">4.  Emergency call-out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2200"/>
        <w:gridCol w:w="20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Priority</w:t>
            </w:r>
          </w:p>
        </w:tc>
        <w:tc>
          <w:tcPr>
            <w:tcW w:type="dxa" w:w="3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Definition</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Response (attend site)</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Target fix</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P1 — Critical</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Loss of pumping at a treatment works with risk of consent breach</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Within 24 hours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48 hours</w:t>
            </w:r>
          </w:p>
        </w:tc>
      </w:tr>
      <w:tr>
        <w:trPr>
          <w:tblHeader w:val="false"/>
        </w:trP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P2 — Major</w:t>
            </w:r>
          </w:p>
        </w:tc>
        <w:tc>
          <w:tcPr>
            <w:tcW w:type="dxa" w:w="3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Reduced capacity, redundancy lost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Within 2 Business Days</w:t>
            </w:r>
          </w:p>
        </w:tc>
        <w:tc>
          <w:tcPr>
            <w:tcW w:type="dxa" w:w="2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5 Business Days</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P3 — Minor</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Fault with no immediate operational impact</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Within 5 Business Days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10 Business Days</w:t>
            </w:r>
          </w:p>
        </w:tc>
      </w:tr>
    </w:tbl>
    <w:p>
      <w:pPr>
        <w:pStyle w:val="Heading1"/>
      </w:pPr>
      <w:r>
        <w:t xml:space="preserve">5.  Service credits</w:t>
      </w:r>
    </w:p>
    <w:p>
      <w:pPr>
        <w:spacing w:after="120"/>
      </w:pPr>
      <w:r>
        <w:t xml:space="preserve">If the Supplier fails to meet a P1 response or fix target, the Supplier shall credit the Customer with £500 per failed target; for a P2 target, £250. Service credits in any Contract Year are capped at 5% of the maintenance Charges payable in that Contract Year and are the Customer’s sole financial remedy for failure to meet a Service Level (without prejudice to the liquidated damages for late delivery under clause 5.2 of the Agreement).</w:t>
      </w:r>
    </w:p>
    <w:p>
      <w:pPr>
        <w:pStyle w:val="Heading1"/>
      </w:pPr>
      <w:r>
        <w:t xml:space="preserve">6.  Reporting and review</w:t>
      </w:r>
    </w:p>
    <w:p>
      <w:pPr>
        <w:spacing w:after="120"/>
      </w:pPr>
      <w:r>
        <w:t xml:space="preserve">The Supplier shall provide a quarterly service report summarising orders, deliveries against lead time, planned-maintenance visits, call-outs and any service credits. The parties shall hold a quarterly review meeting to review performance against the Service Levels and to discuss forward demand.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4"/>
        <w:szCs w:val="14"/>
      </w:rPr>
      <w:t xml:space="preserve">Schedule 2 — Service Levels and Delivery    </w:t>
    </w: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2026-06-28T19:37:13.903Z</dcterms:created>
  <dcterms:modified xsi:type="dcterms:W3CDTF">2026-06-28T19:37:13.903Z</dcterms:modified>
</cp:coreProperties>
</file>

<file path=docProps/custom.xml><?xml version="1.0" encoding="utf-8"?>
<Properties xmlns="http://schemas.openxmlformats.org/officeDocument/2006/custom-properties" xmlns:vt="http://schemas.openxmlformats.org/officeDocument/2006/docPropsVTypes"/>
</file>