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SCHEDULE 1 — TECHNICAL SPECIFICATION</w:t>
      </w:r>
    </w:p>
    <w:p>
      <w:pPr>
        <w:spacing w:after="240"/>
        <w:jc w:val="center"/>
      </w:pPr>
      <w:r>
        <w:rPr>
          <w:color w:val="595959"/>
          <w:sz w:val="18"/>
          <w:szCs w:val="18"/>
        </w:rPr>
        <w:t xml:space="preserve">Master Manufacture and Supply Agreement — Harrow / Calderwater</w:t>
      </w:r>
    </w:p>
    <w:p>
      <w:pPr>
        <w:spacing w:after="120"/>
      </w:pPr>
      <w:r>
        <w:t xml:space="preserve">This controlled document forms Schedule 1 to the Master Manufacture and Supply Agreement between Harrow Precision Engineering Limited and Calderwater Utilities Limited. It sets out the technical specification, applicable standards and acceptance criteria for the Goods.</w:t>
      </w:r>
    </w:p>
    <w:p>
      <w:pPr>
        <w:pStyle w:val="Heading1"/>
      </w:pPr>
      <w:r>
        <w:t xml:space="preserve">1.  General requirements</w:t>
      </w:r>
    </w:p>
    <w:p>
      <w:pPr>
        <w:spacing w:after="120"/>
      </w:pPr>
      <w:r>
        <w:t xml:space="preserve">All Goods shall be designed, manufactured, tested and marked in accordance with the standards identified below and with Good Industry Practice. All wetted components in contact with potable water shall comply with the Water Supply (Water Fittings) Regulations 1999 and carry WRAS approval where applicable. Materials of construction shall be as set out in section 4.</w:t>
      </w:r>
    </w:p>
    <w:p>
      <w:pPr>
        <w:pStyle w:val="Heading1"/>
      </w:pPr>
      <w:r>
        <w:t xml:space="preserve">2.  Pump set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160"/>
        <w:gridCol w:w="1600"/>
        <w:gridCol w:w="2200"/>
      </w:tblGrid>
      <w:tr>
        <w:trPr>
          <w:tblHeader/>
        </w:trPr>
        <w:tc>
          <w:tcPr>
            <w:tcW w:type="dxa" w:w="1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Ref</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Type</w:t>
            </w:r>
          </w:p>
        </w:tc>
        <w:tc>
          <w:tcPr>
            <w:tcW w:type="dxa" w:w="2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Duty point</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Motor</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Standard</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HX-200</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Dry-well centrifugal</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120 l/s @ 18m</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37 kW, IE3</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ISO 9906 2B</w:t>
            </w:r>
          </w:p>
        </w:tc>
      </w:tr>
      <w:tr>
        <w:trPr>
          <w:tblHeader w:val="false"/>
        </w:trP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HX-300</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Dry-well centrifugal</w:t>
            </w:r>
          </w:p>
        </w:tc>
        <w:tc>
          <w:tcPr>
            <w:tcW w:type="dxa" w:w="2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260 l/s @ 22m</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90 kW, IE3</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ISO 9906 2B</w:t>
            </w:r>
          </w:p>
        </w:tc>
      </w:tr>
      <w:tr>
        <w:trPr>
          <w:tblHeader w:val="false"/>
        </w:trPr>
        <w:tc>
          <w:tcPr>
            <w:tcW w:type="dxa" w:w="1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SX-150</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Submersible, non-clog</w:t>
            </w:r>
          </w:p>
        </w:tc>
        <w:tc>
          <w:tcPr>
            <w:tcW w:type="dxa" w:w="2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45 l/s @ 12m</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11 kW, IE3</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12050-1</w:t>
            </w:r>
          </w:p>
        </w:tc>
      </w:tr>
      <w:tr>
        <w:trPr>
          <w:tblHeader w:val="false"/>
        </w:trPr>
        <w:tc>
          <w:tcPr>
            <w:tcW w:type="dxa" w:w="1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SX-250</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Submersible, channel</w:t>
            </w:r>
          </w:p>
        </w:tc>
        <w:tc>
          <w:tcPr>
            <w:tcW w:type="dxa" w:w="21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140 l/s @ 16m</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30 kW, IE3</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12050-1</w:t>
            </w:r>
          </w:p>
        </w:tc>
      </w:tr>
    </w:tbl>
    <w:p>
      <w:pPr>
        <w:pStyle w:val="Heading1"/>
      </w:pPr>
      <w:r>
        <w:t xml:space="preserve">3.  Control equipment</w:t>
      </w:r>
    </w:p>
    <w:p>
      <w:pPr>
        <w:spacing w:after="120"/>
      </w:pPr>
      <w:r>
        <w:t xml:space="preserve">Motor control panels (ref CP-STD) shall be rated IP54, fitted with soft-start, thermal and moisture protection, and a telemetry interface compatible with Calderwater’s SCADA system (Modbus TCP). Panels shall comply with BS EN 61439 and shall be type-tested. Each panel shall be supplied with as-built wiring drawings.</w:t>
      </w:r>
    </w:p>
    <w:p>
      <w:pPr>
        <w:pStyle w:val="Heading1"/>
      </w:pPr>
      <w:r>
        <w:t xml:space="preserve">4.  Materials of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Component</w:t>
            </w:r>
          </w:p>
        </w:tc>
        <w:tc>
          <w:tcPr>
            <w:tcW w:type="dxa" w:w="5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Material</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Pump casing</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Cast iron EN-GJL-250, epoxy-coated</w:t>
            </w:r>
          </w:p>
        </w:tc>
      </w:tr>
      <w:tr>
        <w:trPr>
          <w:tblHeader w:val="false"/>
        </w:trPr>
        <w:tc>
          <w:tcPr>
            <w:tcW w:type="dxa" w:w="3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Impeller (HX range)</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Duplex stainless steel 1.4517</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Impeller (SX range)</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Hardened cast iron / Ni-resist</w:t>
            </w:r>
          </w:p>
        </w:tc>
      </w:tr>
      <w:tr>
        <w:trPr>
          <w:tblHeader w:val="false"/>
        </w:trPr>
        <w:tc>
          <w:tcPr>
            <w:tcW w:type="dxa" w:w="3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Shaft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Stainless steel 1.4057</w:t>
            </w:r>
          </w:p>
        </w:tc>
      </w:tr>
      <w:tr>
        <w:trPr>
          <w:tblHeader w:val="false"/>
        </w:trPr>
        <w:tc>
          <w:tcPr>
            <w:tcW w:type="dxa" w:w="3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Mechanical seals</w:t>
            </w:r>
          </w:p>
        </w:tc>
        <w:tc>
          <w:tcPr>
            <w:tcW w:type="dxa" w:w="57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Silicon carbide / silicon carbide, double seal</w:t>
            </w:r>
          </w:p>
        </w:tc>
      </w:tr>
      <w:tr>
        <w:trPr>
          <w:tblHeader w:val="false"/>
        </w:trPr>
        <w:tc>
          <w:tcPr>
            <w:tcW w:type="dxa" w:w="3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Fasteners (wetted)</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A4 stainless steel</w:t>
            </w:r>
          </w:p>
        </w:tc>
      </w:tr>
    </w:tbl>
    <w:p>
      <w:pPr>
        <w:pStyle w:val="Heading1"/>
      </w:pPr>
      <w:r>
        <w:t xml:space="preserve">5.  Testing and acceptance</w:t>
      </w:r>
    </w:p>
    <w:p>
      <w:pPr>
        <w:spacing w:after="120"/>
      </w:pPr>
      <w:r>
        <w:t xml:space="preserve">Each pump set shall undergo factory acceptance testing (FAT) comprising a performance test at the contract duty point, a hydrostatic test of the casing, a vibration test (to BS ISO 10816) and a final inspection. The Supplier shall issue a FAT certificate and a performance curve for each set. The Customer or its representative may witness FAT on 10 Business Days’ notice. Goods shall not be despatched until the relevant FAT certificate has been issued.</w:t>
      </w:r>
    </w:p>
    <w:p>
      <w:pPr>
        <w:pStyle w:val="Heading1"/>
      </w:pPr>
      <w:r>
        <w:t xml:space="preserve">6.  Documentation</w:t>
      </w:r>
    </w:p>
    <w:p>
      <w:pPr>
        <w:spacing w:after="120"/>
      </w:pPr>
      <w:r>
        <w:t xml:space="preserve">Each delivery shall be accompanied by: the FAT certificate and performance curve; an operation and maintenance manual; as-built drawings; a declaration of conformity; and a recommended spares list. Documentation shall be provided in electronic form and, where requested, in hard copy.</w:t>
      </w:r>
    </w:p>
    <w:p>
      <w:pPr>
        <w:pStyle w:val="Heading1"/>
      </w:pPr>
      <w:r>
        <w:t xml:space="preserve">7.  Marking and packaging</w:t>
      </w:r>
    </w:p>
    <w:p>
      <w:pPr>
        <w:spacing w:after="120"/>
      </w:pPr>
      <w:r>
        <w:t xml:space="preserve">Each item shall be durably marked with the Supplier’s name, the item reference, the serial number and the date of manufacture. Goods shall be packaged to withstand transport and outdoor storage for a period of not less than 6 months.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4"/>
        <w:szCs w:val="14"/>
      </w:rPr>
      <w:t xml:space="preserve">Schedule 1 — Technical Specification    </w:t>
    </w: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2026-06-28T19:37:13.869Z</dcterms:created>
  <dcterms:modified xsi:type="dcterms:W3CDTF">2026-06-28T19:37:13.869Z</dcterms:modified>
</cp:coreProperties>
</file>

<file path=docProps/custom.xml><?xml version="1.0" encoding="utf-8"?>
<Properties xmlns="http://schemas.openxmlformats.org/officeDocument/2006/custom-properties" xmlns:vt="http://schemas.openxmlformats.org/officeDocument/2006/docPropsVTypes"/>
</file>