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jc w:val="center"/>
      </w:pPr>
      <w:r>
        <w:rPr>
          <w:b/>
          <w:bCs/>
        </w:rPr>
        <w:t xml:space="preserve">IN THE HIGH COURT OF JUSTICE</w:t>
      </w:r>
    </w:p>
    <w:p>
      <w:pPr>
        <w:spacing w:after="120" w:line="276"/>
        <w:jc w:val="center"/>
      </w:pPr>
      <w:r>
        <w:rPr>
          <w:b/>
          <w:bCs/>
        </w:rPr>
        <w:t xml:space="preserve">BUSINESS AND PROPERTY COURTS OF ENGLAND AND WALES</w:t>
      </w:r>
    </w:p>
    <w:p>
      <w:pPr>
        <w:spacing w:after="60" w:line="276"/>
        <w:jc w:val="center"/>
      </w:pPr>
      <w:r>
        <w:rPr>
          <w:b/>
          <w:bCs/>
        </w:rPr>
        <w:t xml:space="preserve">TECHNOLOGY AND CONSTRUCTION COURT (KBD)</w:t>
      </w:r>
    </w:p>
    <w:p>
      <w:pPr>
        <w:tabs>
          <w:tab w:val="right" w:pos="9026"/>
        </w:tabs>
        <w:spacing w:after="160"/>
      </w:pPr>
      <w:r>
        <w:t xml:space="preserve"/>
      </w:r>
      <w:r>
        <w:rPr>
          <w:b/>
          <w:bCs/>
        </w:rPr>
        <w:t xml:space="preserve">	Claim No. HT-2025-000418</w:t>
      </w:r>
    </w:p>
    <w:p>
      <w:pPr>
        <w:spacing w:after="120" w:line="276"/>
        <w:jc w:val="center"/>
      </w:pPr>
      <w:r>
        <w:t xml:space="preserve">B E T W E E N:</w:t>
      </w:r>
    </w:p>
    <w:p>
      <w:pPr>
        <w:spacing w:after="120" w:line="276"/>
        <w:jc w:val="center"/>
      </w:pPr>
      <w:r>
        <w:rPr>
          <w:b/>
          <w:bCs/>
        </w:rPr>
        <w:t xml:space="preserve">HARROW PRECISION ENGINEERING LIMITED</w:t>
      </w:r>
    </w:p>
    <w:p>
      <w:pPr>
        <w:spacing w:after="120"/>
        <w:jc w:val="right"/>
      </w:pPr>
      <w:r>
        <w:rPr>
          <w:i/>
          <w:iCs/>
        </w:rPr>
        <w:t xml:space="preserve">Claimant</w:t>
      </w:r>
    </w:p>
    <w:p>
      <w:pPr>
        <w:spacing w:after="120" w:line="276"/>
        <w:jc w:val="center"/>
      </w:pPr>
      <w:r>
        <w:t xml:space="preserve">- and -</w:t>
      </w:r>
    </w:p>
    <w:p>
      <w:pPr>
        <w:spacing w:after="120" w:line="276"/>
        <w:jc w:val="center"/>
      </w:pPr>
      <w:r>
        <w:rPr>
          <w:b/>
          <w:bCs/>
        </w:rPr>
        <w:t xml:space="preserve">BREVDALE CASTINGS LIMITED</w:t>
      </w:r>
    </w:p>
    <w:p>
      <w:pPr>
        <w:spacing w:after="160"/>
        <w:jc w:val="right"/>
      </w:pPr>
      <w:r>
        <w:rPr>
          <w:i/>
          <w:iCs/>
        </w:rPr>
        <w:t xml:space="preserve">Defendant</w:t>
      </w:r>
    </w:p>
    <w:p>
      <w:pPr>
        <w:pBdr>
          <w:bottom w:val="single" w:color="000000" w:sz="6" w:space="1"/>
        </w:pBdr>
        <w:spacing w:after="120"/>
      </w:pPr>
      <w:r>
        <w:t xml:space="preserve"/>
      </w:r>
    </w:p>
    <w:p>
      <w:pPr>
        <w:spacing w:after="60" w:line="276"/>
        <w:jc w:val="center"/>
      </w:pPr>
      <w:r>
        <w:rPr>
          <w:b/>
          <w:bCs/>
          <w:caps/>
        </w:rPr>
        <w:t xml:space="preserve">DEFENCE</w:t>
      </w:r>
    </w:p>
    <w:p>
      <w:pPr>
        <w:pBdr>
          <w:bottom w:val="single" w:color="000000" w:sz="6" w:space="1"/>
        </w:pBdr>
        <w:spacing w:after="120"/>
      </w:pPr>
      <w:r>
        <w:t xml:space="preserve"/>
      </w:r>
    </w:p>
    <w:p>
      <w:pPr>
        <w:spacing w:after="120" w:line="276"/>
      </w:pPr>
      <w:r>
        <w:t xml:space="preserve"/>
      </w:r>
    </w:p>
    <w:p>
      <w:pPr>
        <w:spacing w:after="120" w:line="276"/>
      </w:pPr>
      <w:r>
        <w:t xml:space="preserve">Save where expressly admitted, the Defendant denies each and every allegation in the Particulars of Claim as if the same were set out and traversed seriatim.</w:t>
      </w:r>
    </w:p>
    <w:p>
      <w:pPr>
        <w:pStyle w:val="ListParagraph"/>
        <w:numPr>
          <w:ilvl w:val="0"/>
          <w:numId w:val="2"/>
        </w:numPr>
        <w:spacing w:after="120" w:line="276"/>
      </w:pPr>
      <w:r>
        <w:t xml:space="preserve">Paragraphs 1 and 2 of the Particulars of Claim are admitted.</w:t>
      </w:r>
    </w:p>
    <w:p>
      <w:pPr>
        <w:pStyle w:val="ListParagraph"/>
        <w:numPr>
          <w:ilvl w:val="0"/>
          <w:numId w:val="2"/>
        </w:numPr>
        <w:spacing w:after="120" w:line="276"/>
      </w:pPr>
      <w:r>
        <w:t xml:space="preserve">Paragraph 3 is admitted, save that it is averred that the Supply Agreement also incorporated the Defendant’s standard terms of sale (the “Brevdale Conditions”), which were referred to on the face of each of the Defendant’s acknowledgements of order and which prevailed over any inconsistent term of the Claimant’s conditions of purchase by reason of the “last shot” in the parties’ dealings.</w:t>
      </w:r>
    </w:p>
    <w:p>
      <w:pPr>
        <w:pStyle w:val="ListParagraph"/>
        <w:numPr>
          <w:ilvl w:val="0"/>
          <w:numId w:val="2"/>
        </w:numPr>
        <w:spacing w:after="120" w:line="276"/>
      </w:pPr>
      <w:r>
        <w:t xml:space="preserve">As to paragraph 4, it is admitted that clauses 7.1, 7.3 and 9.2 were terms of the Supply Agreement. It is denied that clause 12 had the effect alleged. On its true construction, clause 12 limited the Defendant’s aggregate liability to 150% of the price paid in the preceding 12 months (namely £611,200, giving a cap of £916,800) and the carve-out for clause 7 extends only to the cost of replacement or making good under clause 9.2 and not to consequential losses.</w:t>
      </w:r>
    </w:p>
    <w:p>
      <w:pPr>
        <w:pStyle w:val="ListParagraph"/>
        <w:numPr>
          <w:ilvl w:val="0"/>
          <w:numId w:val="2"/>
        </w:numPr>
        <w:spacing w:after="120" w:line="276"/>
      </w:pPr>
      <w:r>
        <w:t xml:space="preserve">As to paragraph 5, it is denied that any term was implied as alleged or at all. The castings were sold by description to a detailed specification supplied by the Claimant, and the Claimant did not rely, and it was unreasonable for the Claimant to rely, on the skill and judgment of the Defendant as to fitness for purpose within the meaning of section 14(3) of the Sale of Goods Act 1979.</w:t>
      </w:r>
    </w:p>
    <w:p>
      <w:pPr>
        <w:pStyle w:val="ListParagraph"/>
        <w:numPr>
          <w:ilvl w:val="0"/>
          <w:numId w:val="2"/>
        </w:numPr>
        <w:spacing w:after="120" w:line="276"/>
      </w:pPr>
      <w:r>
        <w:t xml:space="preserve">Paragraph 6 is admitted as to the fact and value of the deliveries. It is admitted that the Claimant paid £611,200 in respect of the relevant deliveries.</w:t>
      </w:r>
    </w:p>
    <w:p>
      <w:pPr>
        <w:pStyle w:val="ListParagraph"/>
        <w:numPr>
          <w:ilvl w:val="0"/>
          <w:numId w:val="2"/>
        </w:numPr>
        <w:spacing w:after="120" w:line="276"/>
      </w:pPr>
      <w:r>
        <w:t xml:space="preserve">Paragraph 7 is not admitted. The Claimant is put to strict proof of the reports alleged and of the causal connection between any failure in service and the castings supplied by the Defendant (as opposed to the Claimant’s own assembly, machining or installation practices).</w:t>
      </w:r>
    </w:p>
    <w:p>
      <w:pPr>
        <w:pStyle w:val="ListParagraph"/>
        <w:numPr>
          <w:ilvl w:val="0"/>
          <w:numId w:val="2"/>
        </w:numPr>
        <w:spacing w:after="120" w:line="276"/>
      </w:pPr>
      <w:r>
        <w:t xml:space="preserve">As to paragraph 8 and the report of Wraysbury Materials Laboratory:</w:t>
      </w:r>
    </w:p>
    <w:p>
      <w:pPr>
        <w:pStyle w:val="ListParagraph"/>
        <w:numPr>
          <w:ilvl w:val="0"/>
          <w:numId w:val="3"/>
        </w:numPr>
        <w:spacing w:after="100" w:line="276"/>
      </w:pPr>
      <w:r>
        <w:t xml:space="preserve">it is denied that the sample of 400 castings was representative of the population of 1,840 castings, the sample having been drawn disproportionately from a single delivery (HPE-PO-7768);</w:t>
      </w:r>
    </w:p>
    <w:p>
      <w:pPr>
        <w:pStyle w:val="ListParagraph"/>
        <w:numPr>
          <w:ilvl w:val="0"/>
          <w:numId w:val="3"/>
        </w:numPr>
        <w:spacing w:after="100" w:line="276"/>
      </w:pPr>
      <w:r>
        <w:t xml:space="preserve">it is denied that any porosity present exceeded acceptance level 2 of BS EN 12681 when assessed in the pressure-containing regions defined by the drawing, as opposed to non-critical flange areas; and</w:t>
      </w:r>
    </w:p>
    <w:p>
      <w:pPr>
        <w:pStyle w:val="ListParagraph"/>
        <w:numPr>
          <w:ilvl w:val="0"/>
          <w:numId w:val="3"/>
        </w:numPr>
        <w:spacing w:after="100" w:line="276"/>
      </w:pPr>
      <w:r>
        <w:t xml:space="preserve">it is denied that the extrapolation to “not fewer than 1,430” castings is statistically or metallurgically sound. The Claimant is put to proof that any more than 312 castings were non-conforming.</w:t>
      </w:r>
    </w:p>
    <w:p>
      <w:pPr>
        <w:pStyle w:val="ListParagraph"/>
        <w:numPr>
          <w:ilvl w:val="0"/>
          <w:numId w:val="2"/>
        </w:numPr>
        <w:spacing w:after="120" w:line="276"/>
      </w:pPr>
      <w:r>
        <w:t xml:space="preserve">Paragraphs 9 and 10 are denied. If and to the extent that any casting was non-conforming (which is denied save as to the 312 castings examined), such non-conformity was caused or contributed to by the Claimant’s own acts and omissions, particulars of which are as follows:</w:t>
      </w:r>
    </w:p>
    <w:p>
      <w:pPr>
        <w:pStyle w:val="ListParagraph"/>
        <w:numPr>
          <w:ilvl w:val="0"/>
          <w:numId w:val="4"/>
        </w:numPr>
        <w:spacing w:after="100" w:line="276"/>
      </w:pPr>
      <w:r>
        <w:t xml:space="preserve">the Claimant subjected the castings to an aggressive CNC machining sequence which removed the as-cast skin and exposed sub-surface features that would not otherwise have affected performance;</w:t>
      </w:r>
    </w:p>
    <w:p>
      <w:pPr>
        <w:pStyle w:val="ListParagraph"/>
        <w:numPr>
          <w:ilvl w:val="0"/>
          <w:numId w:val="4"/>
        </w:numPr>
        <w:spacing w:after="100" w:line="276"/>
      </w:pPr>
      <w:r>
        <w:t xml:space="preserve">the Claimant pressure-tested finished units at 24 bar, well in excess of the 16 bar working pressure made known to the Defendant; and</w:t>
      </w:r>
    </w:p>
    <w:p>
      <w:pPr>
        <w:pStyle w:val="ListParagraph"/>
        <w:numPr>
          <w:ilvl w:val="0"/>
          <w:numId w:val="4"/>
        </w:numPr>
        <w:spacing w:after="100" w:line="276"/>
      </w:pPr>
      <w:r>
        <w:t xml:space="preserve">the Claimant failed to carry out its own goods-inward radiographic inspection, contrary to its quality plan QP-014.</w:t>
      </w:r>
    </w:p>
    <w:p>
      <w:pPr>
        <w:pStyle w:val="ListParagraph"/>
        <w:numPr>
          <w:ilvl w:val="0"/>
          <w:numId w:val="2"/>
        </w:numPr>
        <w:spacing w:after="120" w:line="276"/>
      </w:pPr>
      <w:r>
        <w:t xml:space="preserve">As to loss, paragraphs 11 to 13 are not admitted and the Claimant is put to strict proof of each head of loss. In particular:</w:t>
      </w:r>
    </w:p>
    <w:p>
      <w:pPr>
        <w:pStyle w:val="ListParagraph"/>
        <w:numPr>
          <w:ilvl w:val="0"/>
          <w:numId w:val="5"/>
        </w:numPr>
        <w:spacing w:after="100" w:line="276"/>
      </w:pPr>
      <w:r>
        <w:t xml:space="preserve">the cost of replacement castings is excessive and the Claimant failed to mitigate by giving the Defendant the opportunity to replace or make good under clause 9.2;</w:t>
      </w:r>
    </w:p>
    <w:p>
      <w:pPr>
        <w:pStyle w:val="ListParagraph"/>
        <w:numPr>
          <w:ilvl w:val="0"/>
          <w:numId w:val="5"/>
        </w:numPr>
        <w:spacing w:after="100" w:line="276"/>
      </w:pPr>
      <w:r>
        <w:t xml:space="preserve">the recall of 214 units was a commercial decision of the Claimant and not a reasonable or foreseeable consequence of any breach;</w:t>
      </w:r>
    </w:p>
    <w:p>
      <w:pPr>
        <w:pStyle w:val="ListParagraph"/>
        <w:numPr>
          <w:ilvl w:val="0"/>
          <w:numId w:val="5"/>
        </w:numPr>
        <w:spacing w:after="100" w:line="276"/>
      </w:pPr>
      <w:r>
        <w:t xml:space="preserve">the liability to Stratton Energy plc is too remote, was not within the reasonable contemplation of the parties at the date of the Supply Agreement, and is in any event excluded by clause 12; and</w:t>
      </w:r>
    </w:p>
    <w:p>
      <w:pPr>
        <w:pStyle w:val="ListParagraph"/>
        <w:numPr>
          <w:ilvl w:val="0"/>
          <w:numId w:val="5"/>
        </w:numPr>
        <w:spacing w:after="100" w:line="276"/>
      </w:pPr>
      <w:r>
        <w:t xml:space="preserve">any recoverable loss is in any event capped at £916,800 by clause 12.</w:t>
      </w:r>
    </w:p>
    <w:p>
      <w:pPr>
        <w:pStyle w:val="ListParagraph"/>
        <w:numPr>
          <w:ilvl w:val="0"/>
          <w:numId w:val="2"/>
        </w:numPr>
        <w:spacing w:after="120" w:line="276"/>
      </w:pPr>
      <w:r>
        <w:t xml:space="preserve">Save as expressly admitted, the Defendant denies that it is liable to the Claimant as alleged or at all.</w:t>
      </w:r>
    </w:p>
    <w:p>
      <w:pPr>
        <w:spacing w:after="160" w:line="276"/>
      </w:pPr>
      <w:r>
        <w:t xml:space="preserve"/>
      </w:r>
    </w:p>
    <w:p>
      <w:pPr>
        <w:spacing w:after="120" w:line="276"/>
      </w:pPr>
      <w:r>
        <w:rPr>
          <w:b/>
          <w:bCs/>
        </w:rPr>
        <w:t xml:space="preserve">MARCUS WEBB</w:t>
      </w:r>
    </w:p>
    <w:p>
      <w:pPr>
        <w:spacing w:after="200" w:line="276"/>
      </w:pPr>
      <w:r>
        <w:t xml:space="preserve">Counsel for the Defendant</w:t>
      </w:r>
    </w:p>
    <w:p>
      <w:pPr>
        <w:pStyle w:val="Heading2"/>
      </w:pPr>
      <w:r>
        <w:t xml:space="preserve">Statement of Truth</w:t>
      </w:r>
    </w:p>
    <w:p>
      <w:pPr>
        <w:spacing w:after="120" w:line="276"/>
      </w:pPr>
      <w:r>
        <w:t xml:space="preserve">The Defendant believes that the facts stated in this Defence are true. I am duly authorised by the Defendant to sign this statement.</w:t>
      </w:r>
    </w:p>
    <w:p>
      <w:pPr>
        <w:spacing w:after="120" w:line="276"/>
      </w:pPr>
      <w:r>
        <w:t xml:space="preserve">Signed: ............................................</w:t>
      </w:r>
    </w:p>
    <w:p>
      <w:pPr>
        <w:spacing w:after="120" w:line="276"/>
      </w:pPr>
      <w:r>
        <w:t xml:space="preserve">Name: Rachel Hargrove</w:t>
      </w:r>
    </w:p>
    <w:p>
      <w:pPr>
        <w:spacing w:after="120" w:line="276"/>
      </w:pPr>
      <w:r>
        <w:t xml:space="preserve">Position: Partner, Hargrove &amp; Associates LLP, solicitors for the Defendant</w:t>
      </w:r>
    </w:p>
    <w:p>
      <w:pPr>
        <w:spacing w:after="120" w:line="276"/>
      </w:pPr>
      <w:r>
        <w:t xml:space="preserve">Dated: 9 April 2025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77777"/>
        <w:sz w:val="14"/>
        <w:szCs w:val="14"/>
      </w:rPr>
      <w:t xml:space="preserve">Defence – HT-2025-000418</w:t>
    </w:r>
    <w:r>
      <w:rPr>
        <w:sz w:val="16"/>
        <w:szCs w:val="16"/>
      </w:rPr>
      <w:t xml:space="preserve">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decimal"/>
      <w:lvlText w:val="%1."/>
      <w:lvlJc w:val="left"/>
      <w:pPr>
        <w:ind w:left="567" w:hanging="567"/>
      </w:pPr>
    </w:lvl>
  </w:abstractNum>
  <w:abstractNum w:abstractNumId="6" w15:restartNumberingAfterBreak="0">
    <w:multiLevelType w:val="hybridMultilevel"/>
    <w:lvl w:ilvl="0" w15:tentative="1">
      <w:start w:val="1"/>
      <w:numFmt w:val="decimal"/>
      <w:lvlText w:val="%1."/>
      <w:lvlJc w:val="left"/>
      <w:pPr>
        <w:ind w:left="567" w:hanging="567"/>
      </w:pPr>
    </w:lvl>
  </w:abstractNum>
  <w:abstractNum w:abstractNumId="7" w15:restartNumberingAfterBreak="0">
    <w:multiLevelType w:val="hybridMultilevel"/>
    <w:lvl w:ilvl="0" w15:tentative="1">
      <w:start w:val="1"/>
      <w:numFmt w:val="decimal"/>
      <w:lvlText w:val="%1."/>
      <w:lvlJc w:val="left"/>
      <w:pPr>
        <w:ind w:left="567" w:hanging="567"/>
      </w:pPr>
    </w:lvl>
  </w:abstractNum>
  <w:abstractNum w:abstractNumId="8" w15:restartNumberingAfterBreak="0">
    <w:multiLevelType w:val="hybridMultilevel"/>
    <w:lvl w:ilvl="0" w15:tentative="1">
      <w:start w:val="1"/>
      <w:numFmt w:val="decimal"/>
      <w:lvlText w:val="%1."/>
      <w:lvlJc w:val="left"/>
      <w:pPr>
        <w:ind w:left="567" w:hanging="567"/>
      </w:pPr>
    </w:lvl>
  </w:abstractNum>
  <w:abstractNum w:abstractNumId="9" w15:restartNumberingAfterBreak="0">
    <w:multiLevelType w:val="hybridMultilevel"/>
    <w:lvl w:ilvl="0" w15:tentative="1">
      <w:start w:val="1"/>
      <w:numFmt w:val="lowerLetter"/>
      <w:lvlText w:val="(%1)"/>
      <w:lvlJc w:val="left"/>
      <w:pPr>
        <w:ind w:left="1134" w:hanging="567"/>
      </w:pPr>
    </w:lvl>
  </w:abstractNum>
  <w:abstractNum w:abstractNumId="10" w15:restartNumberingAfterBreak="0">
    <w:multiLevelType w:val="hybridMultilevel"/>
    <w:lvl w:ilvl="0" w15:tentative="1">
      <w:start w:val="1"/>
      <w:numFmt w:val="lowerLetter"/>
      <w:lvlText w:val="(%1)"/>
      <w:lvlJc w:val="left"/>
      <w:pPr>
        <w:ind w:left="1134" w:hanging="567"/>
      </w:pPr>
    </w:lvl>
  </w:abstractNum>
  <w:abstractNum w:abstractNumId="11" w15:restartNumberingAfterBreak="0">
    <w:multiLevelType w:val="hybridMultilevel"/>
    <w:lvl w:ilvl="0" w15:tentative="1">
      <w:start w:val="1"/>
      <w:numFmt w:val="lowerRoman"/>
      <w:lvlText w:val="(%1)"/>
      <w:lvlJc w:val="left"/>
      <w:pPr>
        <w:ind w:left="1701" w:hanging="567"/>
      </w:pPr>
    </w:lvl>
  </w:abstractNum>
  <w:num w:numId="1">
    <w:abstractNumId w:val="1"/>
    <w:lvlOverride w:ilvl="0">
      <w:startOverride w:val="1"/>
    </w:lvlOverride>
  </w:num>
  <w:num w:numId="2">
    <w:abstractNumId w:val="3"/>
    <w:lvlOverride w:ilvl="0">
      <w:startOverride w:val="1"/>
    </w:lvlOverride>
  </w:num>
  <w:num w:numId="3">
    <w:abstractNumId w:val="9"/>
    <w:lvlOverride w:ilvl="0">
      <w:startOverride w:val="1"/>
    </w:lvlOverride>
  </w:num>
  <w:num w:numId="4">
    <w:abstractNumId w:val="10"/>
    <w:lvlOverride w:ilvl="0">
      <w:startOverride w:val="1"/>
    </w:lvlOverride>
  </w:num>
  <w:num w:numId="5">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Georgia" w:cs="Georgia" w:eastAsia="Georgia" w:hAnsi="Georgia"/>
      <w:b/>
      <w:bCs/>
      <w:sz w:val="26"/>
      <w:szCs w:val="26"/>
    </w:rPr>
  </w:style>
  <w:style w:type="paragraph" w:styleId="Heading2">
    <w:name w:val="Heading 2"/>
    <w:basedOn w:val="Normal"/>
    <w:next w:val="Normal"/>
    <w:qFormat/>
    <w:pPr>
      <w:spacing w:after="120" w:before="180"/>
      <w:outlineLvl w:val="1"/>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2026-06-26T16:30:01.612Z</dcterms:created>
  <dcterms:modified xsi:type="dcterms:W3CDTF">2026-06-26T16:30:01.612Z</dcterms:modified>
</cp:coreProperties>
</file>

<file path=docProps/custom.xml><?xml version="1.0" encoding="utf-8"?>
<Properties xmlns="http://schemas.openxmlformats.org/officeDocument/2006/custom-properties" xmlns:vt="http://schemas.openxmlformats.org/officeDocument/2006/docPropsVTypes"/>
</file>