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PRIVATE &amp; CONFIDENTIAL</w:t>
      </w:r>
    </w:p>
    <w:p>
      <w:pPr>
        <w:spacing w:after="60" w:line="276"/>
      </w:pPr>
      <w:r>
        <w:rPr>
          <w:i/>
          <w:iCs/>
        </w:rPr>
        <w:t xml:space="preserve">By email (rachel.hargrove@hargroveassoc.com) and by post</w:t>
      </w:r>
    </w:p>
    <w:p>
      <w:pPr>
        <w:spacing w:after="120" w:line="276"/>
      </w:pPr>
      <w:r>
        <w:t xml:space="preserve">The Directors</w:t>
      </w:r>
    </w:p>
    <w:p>
      <w:pPr>
        <w:spacing w:after="120" w:line="276"/>
      </w:pPr>
      <w:r>
        <w:t xml:space="preserve">Brevdale Castings Limited</w:t>
      </w:r>
    </w:p>
    <w:p>
      <w:pPr>
        <w:spacing w:after="120" w:line="276"/>
      </w:pPr>
      <w:r>
        <w:t xml:space="preserve">Brevdale Works, Attercliffe Road</w:t>
      </w:r>
    </w:p>
    <w:p>
      <w:pPr>
        <w:spacing w:after="120" w:line="276"/>
      </w:pPr>
      <w:r>
        <w:t xml:space="preserve">Sheffield S9 3QY</w:t>
      </w:r>
    </w:p>
    <w:p>
      <w:pPr>
        <w:spacing w:after="60" w:line="276"/>
      </w:pPr>
      <w:r>
        <w:t xml:space="preserve"/>
      </w:r>
    </w:p>
    <w:p>
      <w:pPr>
        <w:spacing w:after="60" w:line="276"/>
      </w:pPr>
      <w:r>
        <w:rPr>
          <w:b/>
          <w:bCs/>
        </w:rPr>
        <w:t xml:space="preserve">Our ref: </w:t>
      </w:r>
      <w:r>
        <w:t xml:space="preserve">SAW/HPE/00147-007</w:t>
      </w:r>
      <w:r>
        <w:rPr>
          <w:b/>
          <w:bCs/>
        </w:rPr>
        <w:t xml:space="preserve">    Your ref: </w:t>
      </w:r>
      <w:r>
        <w:t xml:space="preserve">—</w:t>
      </w:r>
    </w:p>
    <w:p>
      <w:pPr>
        <w:spacing w:after="160" w:line="276"/>
      </w:pPr>
      <w:r>
        <w:t xml:space="preserve">14 October 2024</w:t>
      </w:r>
    </w:p>
    <w:p>
      <w:pPr>
        <w:spacing w:after="120" w:line="276"/>
      </w:pPr>
      <w:r>
        <w:t xml:space="preserve">Dear Sirs</w:t>
      </w:r>
    </w:p>
    <w:p>
      <w:pPr>
        <w:spacing w:after="160"/>
      </w:pPr>
      <w:r>
        <w:rPr>
          <w:b/>
          <w:bCs/>
        </w:rPr>
        <w:t xml:space="preserve">Letter of Claim — Supply of defective ductile-iron pump housings under Supply Agreement dated 9 January 2023 — Harrow Precision Engineering Limited and Brevdale Castings Limited</w:t>
      </w:r>
    </w:p>
    <w:p>
      <w:pPr>
        <w:spacing w:after="120" w:line="276"/>
      </w:pPr>
      <w:r>
        <w:t xml:space="preserve">We act for Harrow Precision Engineering Limited (“Harrow” or “our client”), of Brunel House, Worton Drive, Reading RG2 0TG (company number 03182994). We write this letter of claim in accordance with the Pre-Action Protocol for Construction and Engineering Disputes and the Practice Direction – Pre-Action Conduct and Protocols.</w:t>
      </w:r>
    </w:p>
    <w:p>
      <w:pPr>
        <w:pStyle w:val="ListParagraph"/>
        <w:numPr>
          <w:ilvl w:val="0"/>
          <w:numId w:val="2"/>
        </w:numPr>
        <w:spacing w:after="120" w:line="276"/>
      </w:pPr>
      <w:r>
        <w:t xml:space="preserve">Our client and your company entered into a Supply Agreement dated 9 January 2023 (the “Supply Agreement”) under which your company agreed to manufacture and supply ductile-iron pump housing castings (part numbers HPE-PH-220 and HPE-PH-340) to our client’s drawings and specification HPE-MS-014 (Rev 4), for incorporation into our client’s HX-Series centrifugal pump units. The Supply Agreement incorporated our client’s standard conditions of purchase (Issue 6).</w:t>
      </w:r>
    </w:p>
    <w:p>
      <w:pPr>
        <w:pStyle w:val="ListParagraph"/>
        <w:numPr>
          <w:ilvl w:val="0"/>
          <w:numId w:val="2"/>
        </w:numPr>
        <w:spacing w:after="120" w:line="276"/>
      </w:pPr>
      <w:r>
        <w:t xml:space="preserve">It was an express term of the Supply Agreement (clause 7.1) that the castings would conform in all respects to specification HPE-MS-014 (Rev 4), including the requirement that all pressure-containing castings achieve ductile-iron grade EN-GJS-400-15 to BS EN 1563:2018 and pass radiographic and dye-penetrant inspection to acceptance level 2 of BS EN 12681. It was further an express term (clause 7.3) that the goods would be free from defects in materials and workmanship for 24 months from delivery.</w:t>
      </w:r>
    </w:p>
    <w:p>
      <w:pPr>
        <w:pStyle w:val="ListParagraph"/>
        <w:numPr>
          <w:ilvl w:val="0"/>
          <w:numId w:val="2"/>
        </w:numPr>
        <w:spacing w:after="120" w:line="276"/>
      </w:pPr>
      <w:r>
        <w:t xml:space="preserve">It was also implied into the Supply Agreement by sections 14(2) and 14(3) of the Sale of Goods Act 1979 that the castings would be of satisfactory quality and reasonably fit for the purpose made known to your company, namely incorporation into pressure-bearing centrifugal pump assemblies operating to 16 bar.</w:t>
      </w:r>
    </w:p>
    <w:p>
      <w:pPr>
        <w:pStyle w:val="ListParagraph"/>
        <w:numPr>
          <w:ilvl w:val="0"/>
          <w:numId w:val="2"/>
        </w:numPr>
        <w:spacing w:after="120" w:line="276"/>
      </w:pPr>
      <w:r>
        <w:t xml:space="preserve">Between 4 March 2024 and 21 June 2024 your company delivered 1,840 castings against purchase orders HPE-PO-7741 to HPE-PO-7796. Following reports of weeping and pressure loss from units in service, our client commissioned independent metallurgical testing. That testing has established that a substantial proportion of the castings delivered in that period contain sub-surface gas porosity and shrinkage cavities exceeding the permitted acceptance level, rendering the castings non-conforming and unfit for their purpose.</w:t>
      </w:r>
    </w:p>
    <w:p>
      <w:pPr>
        <w:pStyle w:val="ListParagraph"/>
        <w:numPr>
          <w:ilvl w:val="0"/>
          <w:numId w:val="2"/>
        </w:numPr>
        <w:spacing w:after="120" w:line="276"/>
      </w:pPr>
      <w:r>
        <w:t xml:space="preserve">The independent report of Wraysbury Materials Laboratory dated 26 September 2024 concludes that the porosity arises from inadequate de-gassing and gating practice in your foundry process, and that 312 of the 400 castings examined (78%) failed radiographic acceptance level 2. On that basis our client’s reasonable estimate is that not fewer than 1,430 of the castings delivered in the relevant period are non-conforming.</w:t>
      </w:r>
    </w:p>
    <w:p>
      <w:pPr>
        <w:pStyle w:val="ListParagraph"/>
        <w:numPr>
          <w:ilvl w:val="0"/>
          <w:numId w:val="2"/>
        </w:numPr>
        <w:spacing w:after="120" w:line="276"/>
      </w:pPr>
      <w:r>
        <w:t xml:space="preserve">Your company is accordingly in breach of clauses 7.1 and 7.3 of the Supply Agreement and of the terms implied by the Sale of Goods Act 1979.</w:t>
      </w:r>
    </w:p>
    <w:p>
      <w:pPr>
        <w:pStyle w:val="ListParagraph"/>
        <w:numPr>
          <w:ilvl w:val="0"/>
          <w:numId w:val="2"/>
        </w:numPr>
        <w:spacing w:after="120" w:line="276"/>
      </w:pPr>
      <w:r>
        <w:t xml:space="preserve">As a direct result of your company’s breaches our client has suffered and will suffer loss and damage. In summary, and as more particularly set out in the enclosed schedule, our client claims: (a) the cost of replacement conforming castings; (b) the cost of removing, stripping and rebuilding affected pump units, including a field recall of 214 units already delivered to end customers; (c) carriage, inspection and disposal costs; and (d) liquidated damages and a contractual rebate that our client has become liable to pay to its own customer, Stratton Energy plc, under a framework supply contract, by reason of the delayed and defective deliveries caused by your company’s breach.</w:t>
      </w:r>
    </w:p>
    <w:p>
      <w:pPr>
        <w:pStyle w:val="ListParagraph"/>
        <w:numPr>
          <w:ilvl w:val="0"/>
          <w:numId w:val="2"/>
        </w:numPr>
        <w:spacing w:after="120" w:line="276"/>
      </w:pPr>
      <w:r>
        <w:t xml:space="preserve">Our client’s loss is presently quantified at £1,421,650, made up as follows: replacement castings £398,200; rework and recall labour and parts £512,400; carriage, inspection and disposal £86,050; and liability to Stratton Energy plc (liquidated damages and rebate) £425,000. Our client reserves the right to revise this figure as further units are recalled and inspected.</w:t>
      </w:r>
    </w:p>
    <w:p>
      <w:pPr>
        <w:pStyle w:val="ListParagraph"/>
        <w:numPr>
          <w:ilvl w:val="0"/>
          <w:numId w:val="2"/>
        </w:numPr>
        <w:spacing w:after="120" w:line="276"/>
      </w:pPr>
      <w:r>
        <w:t xml:space="preserve">We therefore require your company, within 14 days of the date of this letter, to: (a) admit liability for the breaches set out above; and (b) confirm your proposals for payment of our client’s losses, or alternatively your detailed substantive response in accordance with the Protocol.</w:t>
      </w:r>
    </w:p>
    <w:p>
      <w:pPr>
        <w:pStyle w:val="ListParagraph"/>
        <w:numPr>
          <w:ilvl w:val="0"/>
          <w:numId w:val="2"/>
        </w:numPr>
        <w:spacing w:after="120" w:line="276"/>
      </w:pPr>
      <w:r>
        <w:t xml:space="preserve">We enclose: (1) the Supply Agreement; (2) specification HPE-MS-014 (Rev 4); (3) a schedule of the affected purchase orders and deliveries; (4) the Wraysbury Materials Laboratory report dated 26 September 2024; and (5) a preliminary schedule of loss. We confirm that our client is willing to engage in alternative dispute resolution, including a meeting of the parties’ experts, at the appropriate stage.</w:t>
      </w:r>
    </w:p>
    <w:p>
      <w:pPr>
        <w:pStyle w:val="ListParagraph"/>
        <w:numPr>
          <w:ilvl w:val="0"/>
          <w:numId w:val="2"/>
        </w:numPr>
        <w:spacing w:after="120" w:line="276"/>
      </w:pPr>
      <w:r>
        <w:t xml:space="preserve">We look forward to hearing from you or your solicitors within 14 days. In the absence of a satisfactory response our client reserves the right to issue proceedings without further notice and to rely on this letter on the question of costs.</w:t>
      </w:r>
    </w:p>
    <w:p>
      <w:pPr>
        <w:spacing w:after="240" w:line="276"/>
      </w:pPr>
      <w:r>
        <w:t xml:space="preserve">Yours faithfully</w:t>
      </w:r>
    </w:p>
    <w:p>
      <w:pPr>
        <w:spacing w:after="60" w:line="276"/>
      </w:pPr>
      <w:r>
        <w:rPr>
          <w:b/>
          <w:bCs/>
        </w:rPr>
        <w:t xml:space="preserve">Whitfield Carter LLP</w:t>
      </w:r>
    </w:p>
    <w:p>
      <w:pPr>
        <w:spacing w:after="120" w:line="276"/>
      </w:pPr>
      <w:r>
        <w:t xml:space="preserve">Whitfield Carter LLP</w:t>
      </w:r>
    </w:p>
    <w:p>
      <w:pPr>
        <w:spacing w:after="120" w:line="276"/>
      </w:pPr>
      <w:r>
        <w:t xml:space="preserve">Enc.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Whitfield Carter LLP – Letter of Claim – 14.10.2024</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Georgia" w:cs="Georgia" w:eastAsia="Georgia" w:hAnsi="Georgia"/>
        <w:b/>
        <w:bCs/>
        <w:sz w:val="26"/>
        <w:szCs w:val="26"/>
      </w:rPr>
      <w:t xml:space="preserve">WHITFIELD CARTER LLP</w:t>
    </w:r>
  </w:p>
  <w:p>
    <w:pPr>
      <w:spacing w:after="0"/>
      <w:jc w:val="right"/>
    </w:pPr>
    <w:r>
      <w:rPr>
        <w:rFonts w:ascii="Georgia" w:cs="Georgia" w:eastAsia="Georgia" w:hAnsi="Georgia"/>
        <w:sz w:val="16"/>
        <w:szCs w:val="16"/>
      </w:rPr>
      <w:t xml:space="preserve">22 Bishopsgate, London EC2N 4BQ</w:t>
    </w:r>
  </w:p>
  <w:p>
    <w:pPr>
      <w:spacing w:after="60"/>
      <w:jc w:val="right"/>
    </w:pPr>
    <w:r>
      <w:rPr>
        <w:rFonts w:ascii="Georgia" w:cs="Georgia" w:eastAsia="Georgia" w:hAnsi="Georgia"/>
        <w:sz w:val="16"/>
        <w:szCs w:val="16"/>
      </w:rPr>
      <w:t xml:space="preserve">T +44 (0)20 7946 0500  |  www.whitfieldcarter.com  |  DX 138760 Cheapside</w:t>
    </w:r>
  </w:p>
  <w:p>
    <w:pPr>
      <w:pBdr>
        <w:bottom w:val="single" w:color="1F3864" w:sz="8"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decimal"/>
      <w:lvlText w:val="%1."/>
      <w:lvlJc w:val="left"/>
      <w:pPr>
        <w:ind w:left="567" w:hanging="567"/>
      </w:pPr>
    </w:lvl>
  </w:abstractNum>
  <w:abstractNum w:abstractNumId="7" w15:restartNumberingAfterBreak="0">
    <w:multiLevelType w:val="hybridMultilevel"/>
    <w:lvl w:ilvl="0" w15:tentative="1">
      <w:start w:val="1"/>
      <w:numFmt w:val="decimal"/>
      <w:lvlText w:val="%1."/>
      <w:lvlJc w:val="left"/>
      <w:pPr>
        <w:ind w:left="567" w:hanging="567"/>
      </w:pPr>
    </w:lvl>
  </w:abstractNum>
  <w:abstractNum w:abstractNumId="8" w15:restartNumberingAfterBreak="0">
    <w:multiLevelType w:val="hybridMultilevel"/>
    <w:lvl w:ilvl="0" w15:tentative="1">
      <w:start w:val="1"/>
      <w:numFmt w:val="decimal"/>
      <w:lvlText w:val="%1."/>
      <w:lvlJc w:val="left"/>
      <w:pPr>
        <w:ind w:left="567" w:hanging="567"/>
      </w:pPr>
    </w:lvl>
  </w:abstractNum>
  <w:abstractNum w:abstractNumId="9" w15:restartNumberingAfterBreak="0">
    <w:multiLevelType w:val="hybridMultilevel"/>
    <w:lvl w:ilvl="0" w15:tentative="1">
      <w:start w:val="1"/>
      <w:numFmt w:val="lowerLetter"/>
      <w:lvlText w:val="(%1)"/>
      <w:lvlJc w:val="left"/>
      <w:pPr>
        <w:ind w:left="1134" w:hanging="567"/>
      </w:pPr>
    </w:lvl>
  </w:abstractNum>
  <w:abstractNum w:abstractNumId="10" w15:restartNumberingAfterBreak="0">
    <w:multiLevelType w:val="hybridMultilevel"/>
    <w:lvl w:ilvl="0" w15:tentative="1">
      <w:start w:val="1"/>
      <w:numFmt w:val="lowerLetter"/>
      <w:lvlText w:val="(%1)"/>
      <w:lvlJc w:val="left"/>
      <w:pPr>
        <w:ind w:left="1134" w:hanging="567"/>
      </w:pPr>
    </w:lvl>
  </w:abstractNum>
  <w:abstractNum w:abstractNumId="11" w15:restartNumberingAfterBreak="0">
    <w:multiLevelType w:val="hybridMultilevel"/>
    <w:lvl w:ilvl="0" w15:tentative="1">
      <w:start w:val="1"/>
      <w:numFmt w:val="lowerRoman"/>
      <w:lvlText w:val="(%1)"/>
      <w:lvlJc w:val="left"/>
      <w:pPr>
        <w:ind w:left="1701" w:hanging="567"/>
      </w:pPr>
    </w:lvl>
  </w:abstractNum>
  <w:num w:numId="1">
    <w:abstractNumId w:val="1"/>
    <w:lvlOverride w:ilvl="0">
      <w:startOverride w:val="1"/>
    </w:lvlOverride>
  </w:num>
  <w:num w:numId="2">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2026-06-26T16:30:01.549Z</dcterms:created>
  <dcterms:modified xsi:type="dcterms:W3CDTF">2026-06-26T16:30:01.549Z</dcterms:modified>
</cp:coreProperties>
</file>

<file path=docProps/custom.xml><?xml version="1.0" encoding="utf-8"?>
<Properties xmlns="http://schemas.openxmlformats.org/officeDocument/2006/custom-properties" xmlns:vt="http://schemas.openxmlformats.org/officeDocument/2006/docPropsVTypes"/>
</file>