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PRIVATE &amp; CONFIDENTIAL</w:t>
      </w:r>
    </w:p>
    <w:p>
      <w:pPr>
        <w:spacing w:after="0" w:line="276"/>
      </w:pPr>
      <w:r>
        <w:t xml:space="preserve">Dr Faisal Iqbal</w:t>
      </w:r>
    </w:p>
    <w:p>
      <w:pPr>
        <w:spacing w:after="0" w:line="276"/>
      </w:pPr>
      <w:r>
        <w:t xml:space="preserve">Principal Metallurgist</w:t>
      </w:r>
    </w:p>
    <w:p>
      <w:pPr>
        <w:spacing w:after="0" w:line="276"/>
      </w:pPr>
      <w:r>
        <w:t xml:space="preserve">Wraysbury Materials Laboratory</w:t>
      </w:r>
    </w:p>
    <w:p>
      <w:pPr>
        <w:spacing w:after="120" w:line="276"/>
      </w:pPr>
      <w:r>
        <w:t xml:space="preserve">Unit 7, Riverside Technology Park, Wraysbury TW19 5AB</w:t>
      </w:r>
    </w:p>
    <w:p>
      <w:pPr>
        <w:spacing w:after="60" w:line="276"/>
      </w:pPr>
      <w:r>
        <w:rPr>
          <w:b/>
          <w:bCs/>
        </w:rPr>
        <w:t xml:space="preserve">Our ref: </w:t>
      </w:r>
      <w:r>
        <w:t xml:space="preserve">SAW/HPE/00147-EXP</w:t>
      </w:r>
    </w:p>
    <w:p>
      <w:pPr>
        <w:spacing w:after="160" w:line="276"/>
      </w:pPr>
      <w:r>
        <w:t xml:space="preserve">6 January 2025</w:t>
      </w:r>
    </w:p>
    <w:p>
      <w:pPr>
        <w:spacing w:after="120" w:line="276"/>
      </w:pPr>
      <w:r>
        <w:t xml:space="preserve">Dear Dr Iqbal</w:t>
      </w:r>
    </w:p>
    <w:p>
      <w:pPr>
        <w:spacing w:after="160"/>
      </w:pPr>
      <w:r>
        <w:rPr>
          <w:b/>
          <w:bCs/>
        </w:rPr>
        <w:t xml:space="preserve">Letter of Instruction – CPR Part 35 expert – Harrow Precision Engineering Limited v Brevdale Castings Limited (HT-2025-000418)</w:t>
      </w:r>
    </w:p>
    <w:p>
      <w:pPr>
        <w:spacing w:after="120" w:line="276"/>
      </w:pPr>
      <w:r>
        <w:t xml:space="preserve">We act for Harrow Precision Engineering Limited in its claim against Brevdale Castings Limited concerning ductile-iron pump housing castings. We are instructed to retain you as the Claimant’s independent expert in metallurgy and foundry engineering for the purpose of these proceedings. This letter sets out your instructions and your duties to the Court.</w:t>
      </w:r>
    </w:p>
    <w:p>
      <w:pPr>
        <w:pStyle w:val="ListParagraph"/>
        <w:numPr>
          <w:ilvl w:val="0"/>
          <w:numId w:val="2"/>
        </w:numPr>
        <w:spacing w:after="120" w:line="276"/>
      </w:pPr>
      <w:r>
        <w:t xml:space="preserve">Your overriding duty is to the Court, not to the party instructing or paying you, in accordance with CPR Part 35 and Practice Direction 35. Your report must comply with PD35 paragraph 3 and contain the statements of truth and of understanding set out there.</w:t>
      </w:r>
    </w:p>
    <w:p>
      <w:pPr>
        <w:pStyle w:val="ListParagraph"/>
        <w:numPr>
          <w:ilvl w:val="0"/>
          <w:numId w:val="2"/>
        </w:numPr>
        <w:spacing w:after="120" w:line="276"/>
      </w:pPr>
      <w:r>
        <w:t xml:space="preserve">We enclose: (a) the Particulars of Claim and Defence; (b) the Supply Agreement and specification HPE-MS-014 (Rev 4); (c) your firm’s earlier report dated 26 September 2024; (d) Brevdale’s foundry inspection certificates for the relevant deliveries; and (e) the relevant purchase orders and delivery records.</w:t>
      </w:r>
    </w:p>
    <w:p>
      <w:pPr>
        <w:pStyle w:val="ListParagraph"/>
        <w:numPr>
          <w:ilvl w:val="0"/>
          <w:numId w:val="2"/>
        </w:numPr>
        <w:spacing w:after="120" w:line="276"/>
      </w:pPr>
      <w:r>
        <w:t xml:space="preserve">We ask you to address the following questions in your report:</w:t>
      </w:r>
    </w:p>
    <w:p>
      <w:pPr>
        <w:pStyle w:val="ListParagraph"/>
        <w:numPr>
          <w:ilvl w:val="0"/>
          <w:numId w:val="3"/>
        </w:numPr>
        <w:spacing w:after="100" w:line="276"/>
      </w:pPr>
      <w:r>
        <w:t xml:space="preserve">whether the castings delivered between 4 March and 21 June 2024 conformed to grade EN-GJS-400-15 and to acceptance level 2 of BS EN 12681 in the pressure-containing regions defined by the drawing;</w:t>
      </w:r>
    </w:p>
    <w:p>
      <w:pPr>
        <w:pStyle w:val="ListParagraph"/>
        <w:numPr>
          <w:ilvl w:val="0"/>
          <w:numId w:val="3"/>
        </w:numPr>
        <w:spacing w:after="100" w:line="276"/>
      </w:pPr>
      <w:r>
        <w:t xml:space="preserve">the nature, cause and origin of any porosity or shrinkage found, and in particular whether it was metallurgical and present as-cast, or whether it was or could have been introduced by the Claimant’s machining or proof-testing;</w:t>
      </w:r>
    </w:p>
    <w:p>
      <w:pPr>
        <w:pStyle w:val="ListParagraph"/>
        <w:numPr>
          <w:ilvl w:val="0"/>
          <w:numId w:val="3"/>
        </w:numPr>
        <w:spacing w:after="100" w:line="276"/>
      </w:pPr>
      <w:r>
        <w:t xml:space="preserve">whether the sample of 400 castings examined was representative of the population of 1,840 castings delivered, and the proportion of the population properly to be regarded as non-conforming; and</w:t>
      </w:r>
    </w:p>
    <w:p>
      <w:pPr>
        <w:pStyle w:val="ListParagraph"/>
        <w:numPr>
          <w:ilvl w:val="0"/>
          <w:numId w:val="3"/>
        </w:numPr>
        <w:spacing w:after="100" w:line="276"/>
      </w:pPr>
      <w:r>
        <w:t xml:space="preserve">whether the field failures reported were consistent with, and explicable by, the porosity found.</w:t>
      </w:r>
    </w:p>
    <w:p>
      <w:pPr>
        <w:pStyle w:val="ListParagraph"/>
        <w:numPr>
          <w:ilvl w:val="0"/>
          <w:numId w:val="2"/>
        </w:numPr>
        <w:spacing w:after="120" w:line="276"/>
      </w:pPr>
      <w:r>
        <w:t xml:space="preserve">Please confirm your availability for an experts’ meeting under CPR 35.12 in due course, and provide an estimate of your fees and a timetable for your report. The current directions require exchange of expert reports by 30 January 2026.</w:t>
      </w:r>
    </w:p>
    <w:p>
      <w:pPr>
        <w:pStyle w:val="ListParagraph"/>
        <w:numPr>
          <w:ilvl w:val="0"/>
          <w:numId w:val="2"/>
        </w:numPr>
        <w:spacing w:after="120" w:line="276"/>
      </w:pPr>
      <w:r>
        <w:t xml:space="preserve">If at any point you consider that you require further information or that any question falls outside your expertise, please tell us at once.</w:t>
      </w:r>
    </w:p>
    <w:p>
      <w:pPr>
        <w:spacing w:after="200" w:line="276"/>
      </w:pPr>
      <w:r>
        <w:t xml:space="preserve">Yours sincerely</w:t>
      </w:r>
    </w:p>
    <w:p>
      <w:pPr>
        <w:spacing w:after="120" w:line="276"/>
      </w:pPr>
      <w:r>
        <w:rPr>
          <w:b/>
          <w:bCs/>
        </w:rPr>
        <w:t xml:space="preserve">James Osei</w:t>
      </w:r>
    </w:p>
    <w:p>
      <w:pPr>
        <w:spacing w:after="120" w:line="276"/>
      </w:pPr>
      <w:r>
        <w:t xml:space="preserve">Senior Associate, Whitfield Carter LLP</w:t>
      </w:r>
    </w:p>
    <w:p>
      <w:pPr>
        <w:spacing w:after="120" w:line="276"/>
      </w:pPr>
      <w:r>
        <w:t xml:space="preserve">Enc.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4"/>
        <w:szCs w:val="14"/>
      </w:rPr>
      <w:t xml:space="preserve">Letter of Instruction – HT-2025-000418</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Georgia" w:cs="Georgia" w:eastAsia="Georgia" w:hAnsi="Georgia"/>
        <w:b/>
        <w:bCs/>
        <w:sz w:val="26"/>
        <w:szCs w:val="26"/>
      </w:rPr>
      <w:t xml:space="preserve">WHITFIELD CARTER LLP</w:t>
    </w:r>
  </w:p>
  <w:p>
    <w:pPr>
      <w:spacing w:after="0"/>
      <w:jc w:val="right"/>
    </w:pPr>
    <w:r>
      <w:rPr>
        <w:rFonts w:ascii="Georgia" w:cs="Georgia" w:eastAsia="Georgia" w:hAnsi="Georgia"/>
        <w:sz w:val="16"/>
        <w:szCs w:val="16"/>
      </w:rPr>
      <w:t xml:space="preserve">22 Bishopsgate, London EC2N 4BQ</w:t>
    </w:r>
  </w:p>
  <w:p>
    <w:pPr>
      <w:spacing w:after="60"/>
      <w:jc w:val="right"/>
    </w:pPr>
    <w:r>
      <w:rPr>
        <w:rFonts w:ascii="Georgia" w:cs="Georgia" w:eastAsia="Georgia" w:hAnsi="Georgia"/>
        <w:sz w:val="16"/>
        <w:szCs w:val="16"/>
      </w:rPr>
      <w:t xml:space="preserve">T +44 (0)20 7946 0500  |  www.whitfieldcarter.com  |  DX 138760 Cheapside</w:t>
    </w:r>
  </w:p>
  <w:p>
    <w:pPr>
      <w:pBdr>
        <w:bottom w:val="single" w:color="1F3864" w:sz="8"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decimal"/>
      <w:lvlText w:val="%1."/>
      <w:lvlJc w:val="left"/>
      <w:pPr>
        <w:ind w:left="567" w:hanging="567"/>
      </w:pPr>
    </w:lvl>
  </w:abstractNum>
  <w:abstractNum w:abstractNumId="7" w15:restartNumberingAfterBreak="0">
    <w:multiLevelType w:val="hybridMultilevel"/>
    <w:lvl w:ilvl="0" w15:tentative="1">
      <w:start w:val="1"/>
      <w:numFmt w:val="decimal"/>
      <w:lvlText w:val="%1."/>
      <w:lvlJc w:val="left"/>
      <w:pPr>
        <w:ind w:left="567" w:hanging="567"/>
      </w:pPr>
    </w:lvl>
  </w:abstractNum>
  <w:abstractNum w:abstractNumId="8" w15:restartNumberingAfterBreak="0">
    <w:multiLevelType w:val="hybridMultilevel"/>
    <w:lvl w:ilvl="0" w15:tentative="1">
      <w:start w:val="1"/>
      <w:numFmt w:val="decimal"/>
      <w:lvlText w:val="%1."/>
      <w:lvlJc w:val="left"/>
      <w:pPr>
        <w:ind w:left="567" w:hanging="567"/>
      </w:pPr>
    </w:lvl>
  </w:abstractNum>
  <w:abstractNum w:abstractNumId="9" w15:restartNumberingAfterBreak="0">
    <w:multiLevelType w:val="hybridMultilevel"/>
    <w:lvl w:ilvl="0" w15:tentative="1">
      <w:start w:val="1"/>
      <w:numFmt w:val="lowerLetter"/>
      <w:lvlText w:val="(%1)"/>
      <w:lvlJc w:val="left"/>
      <w:pPr>
        <w:ind w:left="1134" w:hanging="567"/>
      </w:pPr>
    </w:lvl>
  </w:abstractNum>
  <w:abstractNum w:abstractNumId="10" w15:restartNumberingAfterBreak="0">
    <w:multiLevelType w:val="hybridMultilevel"/>
    <w:lvl w:ilvl="0" w15:tentative="1">
      <w:start w:val="1"/>
      <w:numFmt w:val="lowerLetter"/>
      <w:lvlText w:val="(%1)"/>
      <w:lvlJc w:val="left"/>
      <w:pPr>
        <w:ind w:left="1134" w:hanging="567"/>
      </w:pPr>
    </w:lvl>
  </w:abstractNum>
  <w:abstractNum w:abstractNumId="11" w15:restartNumberingAfterBreak="0">
    <w:multiLevelType w:val="hybridMultilevel"/>
    <w:lvl w:ilvl="0" w15:tentative="1">
      <w:start w:val="1"/>
      <w:numFmt w:val="lowerRoman"/>
      <w:lvlText w:val="(%1)"/>
      <w:lvlJc w:val="left"/>
      <w:pPr>
        <w:ind w:left="1701" w:hanging="567"/>
      </w:pPr>
    </w:lvl>
  </w:abstractNum>
  <w:num w:numId="1">
    <w:abstractNumId w:val="1"/>
    <w:lvlOverride w:ilvl="0">
      <w:startOverride w:val="1"/>
    </w:lvlOverride>
  </w:num>
  <w:num w:numId="2">
    <w:abstractNumId w:val="8"/>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2026-06-26T16:30:01.663Z</dcterms:created>
  <dcterms:modified xsi:type="dcterms:W3CDTF">2026-06-26T16:30:01.663Z</dcterms:modified>
</cp:coreProperties>
</file>

<file path=docProps/custom.xml><?xml version="1.0" encoding="utf-8"?>
<Properties xmlns="http://schemas.openxmlformats.org/officeDocument/2006/custom-properties" xmlns:vt="http://schemas.openxmlformats.org/officeDocument/2006/docPropsVTypes"/>
</file>