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rPr>
        <w:t xml:space="preserve">IN THE HIGH COURT OF JUSTICE</w:t>
      </w:r>
    </w:p>
    <w:p>
      <w:pPr>
        <w:spacing w:after="120" w:line="276"/>
        <w:jc w:val="center"/>
      </w:pPr>
      <w:r>
        <w:rPr>
          <w:b/>
          <w:bCs/>
        </w:rPr>
        <w:t xml:space="preserve">BUSINESS AND PROPERTY COURTS OF ENGLAND AND WALES</w:t>
      </w:r>
    </w:p>
    <w:p>
      <w:pPr>
        <w:spacing w:after="60" w:line="276"/>
        <w:jc w:val="center"/>
      </w:pPr>
      <w:r>
        <w:rPr>
          <w:b/>
          <w:bCs/>
        </w:rPr>
        <w:t xml:space="preserve">TECHNOLOGY AND CONSTRUCTION COURT (KBD)</w:t>
      </w:r>
    </w:p>
    <w:p>
      <w:pPr>
        <w:tabs>
          <w:tab w:val="right" w:pos="9026"/>
        </w:tabs>
        <w:spacing w:after="160"/>
      </w:pPr>
      <w:r>
        <w:t xml:space="preserve"/>
      </w:r>
      <w:r>
        <w:rPr>
          <w:b/>
          <w:bCs/>
        </w:rPr>
        <w:t xml:space="preserve">	Claim No. HT-2025-000418</w:t>
      </w:r>
    </w:p>
    <w:p>
      <w:pPr>
        <w:spacing w:after="120" w:line="276"/>
        <w:jc w:val="center"/>
      </w:pPr>
      <w:r>
        <w:t xml:space="preserve">B E T W E E N:</w:t>
      </w:r>
    </w:p>
    <w:p>
      <w:pPr>
        <w:spacing w:after="120" w:line="276"/>
        <w:jc w:val="center"/>
      </w:pPr>
      <w:r>
        <w:rPr>
          <w:b/>
          <w:bCs/>
        </w:rPr>
        <w:t xml:space="preserve">HARROW PRECISION ENGINEERING LIMITED</w:t>
      </w:r>
    </w:p>
    <w:p>
      <w:pPr>
        <w:spacing w:after="120"/>
        <w:jc w:val="right"/>
      </w:pPr>
      <w:r>
        <w:rPr>
          <w:i/>
          <w:iCs/>
        </w:rPr>
        <w:t xml:space="preserve">Claimant</w:t>
      </w:r>
    </w:p>
    <w:p>
      <w:pPr>
        <w:spacing w:after="120" w:line="276"/>
        <w:jc w:val="center"/>
      </w:pPr>
      <w:r>
        <w:t xml:space="preserve">- and -</w:t>
      </w:r>
    </w:p>
    <w:p>
      <w:pPr>
        <w:spacing w:after="120" w:line="276"/>
        <w:jc w:val="center"/>
      </w:pPr>
      <w:r>
        <w:rPr>
          <w:b/>
          <w:bCs/>
        </w:rPr>
        <w:t xml:space="preserve">BREVDALE CASTINGS LIMITED</w:t>
      </w:r>
    </w:p>
    <w:p>
      <w:pPr>
        <w:spacing w:after="160"/>
        <w:jc w:val="right"/>
      </w:pPr>
      <w:r>
        <w:rPr>
          <w:i/>
          <w:iCs/>
        </w:rPr>
        <w:t xml:space="preserve">Defendant</w:t>
      </w:r>
    </w:p>
    <w:p>
      <w:pPr>
        <w:pBdr>
          <w:bottom w:val="single" w:color="000000" w:sz="6" w:space="1"/>
        </w:pBdr>
        <w:spacing w:after="120"/>
      </w:pPr>
      <w:r>
        <w:t xml:space="preserve"/>
      </w:r>
    </w:p>
    <w:p>
      <w:pPr>
        <w:spacing w:after="60" w:line="276"/>
        <w:jc w:val="center"/>
      </w:pPr>
      <w:r>
        <w:rPr>
          <w:b/>
          <w:bCs/>
          <w:caps/>
        </w:rPr>
        <w:t xml:space="preserve">REPLY</w:t>
      </w:r>
    </w:p>
    <w:p>
      <w:pPr>
        <w:pBdr>
          <w:bottom w:val="single" w:color="000000" w:sz="6" w:space="1"/>
        </w:pBdr>
        <w:spacing w:after="120"/>
      </w:pPr>
      <w:r>
        <w:t xml:space="preserve"/>
      </w:r>
    </w:p>
    <w:p>
      <w:pPr>
        <w:spacing w:after="120" w:line="276"/>
      </w:pPr>
      <w:r>
        <w:t xml:space="preserve"/>
      </w:r>
    </w:p>
    <w:p>
      <w:pPr>
        <w:pStyle w:val="ListParagraph"/>
        <w:numPr>
          <w:ilvl w:val="0"/>
          <w:numId w:val="2"/>
        </w:numPr>
        <w:spacing w:after="120" w:line="276"/>
      </w:pPr>
      <w:r>
        <w:t xml:space="preserve">Save in so far as it consists of admissions, and save as expressly admitted below, the Claimant joins issue with the Defendant on its Defence.</w:t>
      </w:r>
    </w:p>
    <w:p>
      <w:pPr>
        <w:pStyle w:val="ListParagraph"/>
        <w:numPr>
          <w:ilvl w:val="0"/>
          <w:numId w:val="2"/>
        </w:numPr>
        <w:spacing w:after="120" w:line="276"/>
      </w:pPr>
      <w:r>
        <w:t xml:space="preserve">As to paragraph 3 of the Defence, it is denied that the Brevdale Conditions were incorporated into the Supply Agreement. The Supply Agreement was a single signed written contract which provided at clause 17.4 that it constituted the entire agreement and that no other terms would apply. The “last shot” doctrine has no application to a signed framework agreement.</w:t>
      </w:r>
    </w:p>
    <w:p>
      <w:pPr>
        <w:pStyle w:val="ListParagraph"/>
        <w:numPr>
          <w:ilvl w:val="0"/>
          <w:numId w:val="2"/>
        </w:numPr>
        <w:spacing w:after="120" w:line="276"/>
      </w:pPr>
      <w:r>
        <w:t xml:space="preserve">As to paragraph 4, the Claimant maintains that clause 12 does not limit the Defendant’s liability for breach of clause 7. The carve-out in clause 12 is unqualified and is not limited to the clause 9.2 replacement remedy. Further or alternatively, if (which is denied) clause 12 purports to limit liability for breach of clause 7, it is unreasonable within the meaning of the Unfair Contract Terms Act 1977 and is of no effect.</w:t>
      </w:r>
    </w:p>
    <w:p>
      <w:pPr>
        <w:pStyle w:val="ListParagraph"/>
        <w:numPr>
          <w:ilvl w:val="0"/>
          <w:numId w:val="2"/>
        </w:numPr>
        <w:spacing w:after="120" w:line="276"/>
      </w:pPr>
      <w:r>
        <w:t xml:space="preserve">As to paragraph 9, each of the alleged contributory acts is denied. The machining sequence was that approved by the Defendant at the design-review meeting of 16 November 2022; the 24 bar test is the standard proof test required by the Claimant’s customer specification and is industry standard at 1.5 times working pressure; and the Claimant’s quality plan did not require goods-inward radiography of castings supplied to an approved foundry such as the Defendant.</w:t>
      </w:r>
    </w:p>
    <w:p>
      <w:pPr>
        <w:pStyle w:val="ListParagraph"/>
        <w:numPr>
          <w:ilvl w:val="0"/>
          <w:numId w:val="2"/>
        </w:numPr>
        <w:spacing w:after="120" w:line="276"/>
      </w:pPr>
      <w:r>
        <w:t xml:space="preserve">As to causation, the Claimant will rely on the Wraysbury Materials Laboratory report and on the fact that the porosity was sub-surface and metallurgical in origin, and therefore present as cast and not introduced by any machining or testing carried out by the Claimant.</w:t>
      </w:r>
    </w:p>
    <w:p>
      <w:pPr>
        <w:pStyle w:val="ListParagraph"/>
        <w:numPr>
          <w:ilvl w:val="0"/>
          <w:numId w:val="2"/>
        </w:numPr>
        <w:spacing w:after="120" w:line="276"/>
      </w:pPr>
      <w:r>
        <w:t xml:space="preserve">Save as aforesaid, the Claimant repeats its Particulars of Claim.</w:t>
      </w:r>
    </w:p>
    <w:p>
      <w:pPr>
        <w:spacing w:after="160" w:line="276"/>
      </w:pPr>
      <w:r>
        <w:t xml:space="preserve"/>
      </w:r>
    </w:p>
    <w:p>
      <w:pPr>
        <w:spacing w:after="120" w:line="276"/>
      </w:pPr>
      <w:r>
        <w:rPr>
          <w:b/>
          <w:bCs/>
        </w:rPr>
        <w:t xml:space="preserve">HARRIET STANFORD</w:t>
      </w:r>
    </w:p>
    <w:p>
      <w:pPr>
        <w:spacing w:after="160" w:line="276"/>
      </w:pPr>
      <w:r>
        <w:t xml:space="preserve">Eldon Chambers</w:t>
      </w:r>
    </w:p>
    <w:p>
      <w:pPr>
        <w:pStyle w:val="Heading2"/>
      </w:pPr>
      <w:r>
        <w:t xml:space="preserve">Statement of Truth</w:t>
      </w:r>
    </w:p>
    <w:p>
      <w:pPr>
        <w:spacing w:after="120" w:line="276"/>
      </w:pPr>
      <w:r>
        <w:t xml:space="preserve">The Claimant believes that the facts stated in this Reply are true. I am duly authorised by the Claimant to sign this statement.</w:t>
      </w:r>
    </w:p>
    <w:p>
      <w:pPr>
        <w:spacing w:after="120" w:line="276"/>
      </w:pPr>
      <w:r>
        <w:t xml:space="preserve">Signed: ............................................</w:t>
      </w:r>
    </w:p>
    <w:p>
      <w:pPr>
        <w:spacing w:after="120" w:line="276"/>
      </w:pPr>
      <w:r>
        <w:t xml:space="preserve">Name: Sarah Whitfield, Partner, Whitfield Carter LLP</w:t>
      </w:r>
    </w:p>
    <w:p>
      <w:pPr>
        <w:spacing w:after="120" w:line="276"/>
      </w:pPr>
      <w:r>
        <w:t xml:space="preserve">Dated: 2 May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Reply – HT-2025-000418</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2026-06-26T16:30:01.625Z</dcterms:created>
  <dcterms:modified xsi:type="dcterms:W3CDTF">2026-06-26T16:30:01.625Z</dcterms:modified>
</cp:coreProperties>
</file>

<file path=docProps/custom.xml><?xml version="1.0" encoding="utf-8"?>
<Properties xmlns="http://schemas.openxmlformats.org/officeDocument/2006/custom-properties" xmlns:vt="http://schemas.openxmlformats.org/officeDocument/2006/docPropsVTypes"/>
</file>