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IN THE HIGH COURT OF JUSTICE</w:t>
      </w:r>
    </w:p>
    <w:p>
      <w:pPr>
        <w:spacing w:after="120" w:line="276"/>
        <w:jc w:val="center"/>
      </w:pPr>
      <w:r>
        <w:rPr>
          <w:b/>
          <w:bCs/>
        </w:rPr>
        <w:t xml:space="preserve">BUSINESS AND PROPERTY COURTS OF ENGLAND AND WALES</w:t>
      </w:r>
    </w:p>
    <w:p>
      <w:pPr>
        <w:spacing w:after="60" w:line="276"/>
        <w:jc w:val="center"/>
      </w:pPr>
      <w:r>
        <w:rPr>
          <w:b/>
          <w:bCs/>
        </w:rPr>
        <w:t xml:space="preserve">TECHNOLOGY AND CONSTRUCTION COURT (KBD)</w:t>
      </w:r>
    </w:p>
    <w:p>
      <w:pPr>
        <w:tabs>
          <w:tab w:val="right" w:pos="9026"/>
        </w:tabs>
        <w:spacing w:after="160"/>
      </w:pPr>
      <w:r>
        <w:t xml:space="preserve"/>
      </w:r>
      <w:r>
        <w:rPr>
          <w:b/>
          <w:bCs/>
        </w:rPr>
        <w:t xml:space="preserve">	Claim No. HT-2025-000418</w:t>
      </w:r>
    </w:p>
    <w:p>
      <w:pPr>
        <w:spacing w:after="120" w:line="276"/>
        <w:jc w:val="center"/>
      </w:pPr>
      <w:r>
        <w:t xml:space="preserve">B E T W E E N:</w:t>
      </w:r>
    </w:p>
    <w:p>
      <w:pPr>
        <w:spacing w:after="120" w:line="276"/>
        <w:jc w:val="center"/>
      </w:pPr>
      <w:r>
        <w:rPr>
          <w:b/>
          <w:bCs/>
        </w:rPr>
        <w:t xml:space="preserve">HARROW PRECISION ENGINEERING LIMITED</w:t>
      </w:r>
    </w:p>
    <w:p>
      <w:pPr>
        <w:spacing w:after="120"/>
        <w:jc w:val="right"/>
      </w:pPr>
      <w:r>
        <w:rPr>
          <w:i/>
          <w:iCs/>
        </w:rPr>
        <w:t xml:space="preserve">Claimant</w:t>
      </w:r>
    </w:p>
    <w:p>
      <w:pPr>
        <w:spacing w:after="120" w:line="276"/>
        <w:jc w:val="center"/>
      </w:pPr>
      <w:r>
        <w:t xml:space="preserve">- and -</w:t>
      </w:r>
    </w:p>
    <w:p>
      <w:pPr>
        <w:spacing w:after="120" w:line="276"/>
        <w:jc w:val="center"/>
      </w:pPr>
      <w:r>
        <w:rPr>
          <w:b/>
          <w:bCs/>
        </w:rPr>
        <w:t xml:space="preserve">BREVDALE CASTINGS LIMITED</w:t>
      </w:r>
    </w:p>
    <w:p>
      <w:pPr>
        <w:spacing w:after="160"/>
        <w:jc w:val="right"/>
      </w:pPr>
      <w:r>
        <w:rPr>
          <w:i/>
          <w:iCs/>
        </w:rPr>
        <w:t xml:space="preserve">Defendant</w:t>
      </w:r>
    </w:p>
    <w:p>
      <w:pPr>
        <w:spacing w:after="60"/>
        <w:jc w:val="right"/>
      </w:pPr>
      <w:r>
        <w:rPr>
          <w:i/>
          <w:iCs/>
        </w:rPr>
        <w:t xml:space="preserve">Claimant</w:t>
      </w:r>
      <w:r>
        <w:rPr>
          <w:i/>
          <w:iCs/>
          <w:sz w:val="16"/>
          <w:szCs w:val="16"/>
        </w:rPr>
        <w:t xml:space="preserve">  |  First Statement  |  M. Calloway  |  Exhibit “MC1”</w:t>
      </w:r>
    </w:p>
    <w:p>
      <w:pPr>
        <w:pBdr>
          <w:bottom w:val="single" w:color="000000" w:sz="6" w:space="1"/>
        </w:pBdr>
        <w:spacing w:after="120"/>
      </w:pPr>
      <w:r>
        <w:t xml:space="preserve"/>
      </w:r>
    </w:p>
    <w:p>
      <w:pPr>
        <w:spacing w:after="60" w:line="276"/>
        <w:jc w:val="center"/>
      </w:pPr>
      <w:r>
        <w:rPr>
          <w:b/>
          <w:bCs/>
        </w:rPr>
        <w:t xml:space="preserve">WITNESS STATEMENT OF MARTIN CALLOWAY</w:t>
      </w:r>
    </w:p>
    <w:p>
      <w:pPr>
        <w:pBdr>
          <w:bottom w:val="single" w:color="000000" w:sz="6" w:space="1"/>
        </w:pBdr>
        <w:spacing w:after="120"/>
      </w:pPr>
      <w:r>
        <w:t xml:space="preserve"/>
      </w:r>
    </w:p>
    <w:p>
      <w:pPr>
        <w:spacing w:after="120" w:line="276"/>
      </w:pPr>
      <w:r>
        <w:t xml:space="preserve"/>
      </w:r>
    </w:p>
    <w:p>
      <w:pPr>
        <w:spacing w:after="120" w:line="276"/>
      </w:pPr>
      <w:r>
        <w:t xml:space="preserve">I, MARTIN CALLOWAY, of Brunel House, Worton Drive, Reading RG2 0TG, WILL SAY as follows:</w:t>
      </w:r>
    </w:p>
    <w:p>
      <w:pPr>
        <w:pStyle w:val="ListParagraph"/>
        <w:numPr>
          <w:ilvl w:val="0"/>
          <w:numId w:val="2"/>
        </w:numPr>
        <w:spacing w:after="120" w:line="276"/>
      </w:pPr>
      <w:r>
        <w:t xml:space="preserve">I am the Quality and Production Director of the Claimant, Harrow Precision Engineering Limited (“Harrow”). I have held that position since 2019. I make this statement from my own knowledge, save where I indicate otherwise, in which case I believe the matters stated to be true. There is now produced and shown to me a paginated bundle of documents marked “MC1” to which I refer.</w:t>
      </w:r>
    </w:p>
    <w:p>
      <w:pPr>
        <w:pStyle w:val="ListParagraph"/>
        <w:numPr>
          <w:ilvl w:val="0"/>
          <w:numId w:val="2"/>
        </w:numPr>
        <w:spacing w:after="120" w:line="276"/>
      </w:pPr>
      <w:r>
        <w:t xml:space="preserve">I am responsible for Harrow’s supplier quality function and for the HX-Series pump programme. I was personally involved in the approval of Brevdale Castings Limited (“Brevdale”) as an approved foundry and in the events giving rise to this claim.</w:t>
      </w:r>
    </w:p>
    <w:p>
      <w:pPr>
        <w:pStyle w:val="ListParagraph"/>
        <w:numPr>
          <w:ilvl w:val="0"/>
          <w:numId w:val="2"/>
        </w:numPr>
        <w:spacing w:after="120" w:line="276"/>
      </w:pPr>
      <w:r>
        <w:t xml:space="preserve">Harrow has manufactured industrial centrifugal pumps for over thirty years. The HX-Series is our flagship range of pressure-bearing units, rated to a 16 bar working pressure, used by water utilities and energy customers. The pump housing is a ductile-iron casting that contains the pumped fluid under pressure; its integrity is critical to the safety and performance of the unit.</w:t>
      </w:r>
    </w:p>
    <w:p>
      <w:pPr>
        <w:pStyle w:val="ListParagraph"/>
        <w:numPr>
          <w:ilvl w:val="0"/>
          <w:numId w:val="2"/>
        </w:numPr>
        <w:spacing w:after="120" w:line="276"/>
      </w:pPr>
      <w:r>
        <w:t xml:space="preserve">Brevdale was approved as a foundry supplier following a site audit I led on 4 October 2022. We placed a framework Supply Agreement with Brevdale on 9 January 2023 for housing castings to our specification HPE-MS-014 (Rev 4). That specification requires grade EN-GJS-400-15 ductile iron and radiographic acceptance to level 2 of BS EN 12681 in the pressure-containing regions.</w:t>
      </w:r>
    </w:p>
    <w:p>
      <w:pPr>
        <w:pStyle w:val="ListParagraph"/>
        <w:numPr>
          <w:ilvl w:val="0"/>
          <w:numId w:val="2"/>
        </w:numPr>
        <w:spacing w:after="120" w:line="276"/>
      </w:pPr>
      <w:r>
        <w:t xml:space="preserve">Deliveries in 2023 and early 2024 were satisfactory. The problems the subject of this claim relate to castings delivered between 4 March and 21 June 2024 against orders HPE-PO-7741 to 7796. In total Brevdale delivered 1,840 castings in that window.</w:t>
      </w:r>
    </w:p>
    <w:p>
      <w:pPr>
        <w:pStyle w:val="ListParagraph"/>
        <w:numPr>
          <w:ilvl w:val="0"/>
          <w:numId w:val="2"/>
        </w:numPr>
        <w:spacing w:after="120" w:line="276"/>
      </w:pPr>
      <w:r>
        <w:t xml:space="preserve">From mid-May 2024 our service desk began logging reports of HX units weeping at the housing and losing pressure in the field. By the end of June 2024 we had eleven separate field reports, all from units built with castings from the March–June 2024 deliveries. I considered this a clear pattern pointing to a common cause in the castings.</w:t>
      </w:r>
    </w:p>
    <w:p>
      <w:pPr>
        <w:pStyle w:val="ListParagraph"/>
        <w:numPr>
          <w:ilvl w:val="0"/>
          <w:numId w:val="2"/>
        </w:numPr>
        <w:spacing w:after="120" w:line="276"/>
      </w:pPr>
      <w:r>
        <w:t xml:space="preserve">I instructed Wraysbury Materials Laboratory, an independent UKAS-accredited laboratory, to examine a representative sample of the castings. I describe the sampling at paragraphs 12 to 14 below; I do not accept Brevdale’s suggestion that the sample was unrepresentative. Wraysbury reported on 26 September 2024 that 312 of the 400 castings examined (78%) contained sub-surface gas porosity and shrinkage exceeding the permitted level, and that the cause lay in Brevdale’s de-gassing and gating practice.</w:t>
      </w:r>
    </w:p>
    <w:p>
      <w:pPr>
        <w:pStyle w:val="ListParagraph"/>
        <w:numPr>
          <w:ilvl w:val="0"/>
          <w:numId w:val="2"/>
        </w:numPr>
        <w:spacing w:after="120" w:line="276"/>
      </w:pPr>
      <w:r>
        <w:t xml:space="preserve">On receipt of that report, and following advice, Harrow took the decision to recall 214 units that had already been delivered to end customers, including units supplied to Stratton Energy plc. I did not regard that as a commercial choice: as the units are pressure-bearing, leaving potentially defective housings in service would have been unsafe and would have exposed Harrow to far greater liability.</w:t>
      </w:r>
    </w:p>
    <w:p>
      <w:pPr>
        <w:pStyle w:val="ListParagraph"/>
        <w:numPr>
          <w:ilvl w:val="0"/>
          <w:numId w:val="2"/>
        </w:numPr>
        <w:spacing w:after="120" w:line="276"/>
      </w:pPr>
      <w:r>
        <w:t xml:space="preserve">I deal now with Brevdale’s allegations of contributory fault. As to machining, the CNC sequence we used was the very sequence reviewed and signed off by Brevdale’s technical manager at the design-review meeting on 16 November 2022; I produce my note of that meeting at MC1/142. As to proof testing, our test at 24 bar is the standard 1.5 × working-pressure proof test required by our customers and by good industry practice; it does not create porosity, it merely reveals a casting that is already defective.</w:t>
      </w:r>
    </w:p>
    <w:p>
      <w:pPr>
        <w:pStyle w:val="ListParagraph"/>
        <w:numPr>
          <w:ilvl w:val="0"/>
          <w:numId w:val="2"/>
        </w:numPr>
        <w:spacing w:after="120" w:line="276"/>
      </w:pPr>
      <w:r>
        <w:t xml:space="preserve">As to goods-inward inspection, our quality plan QP-014 does not require radiographic inspection of every casting from an approved foundry; we are entitled to rely on the foundry’s own inspection certificates, which Brevdale supplied and which certified conformity. Had those certificates been accurate, the defects would not have reached our line.</w:t>
      </w:r>
    </w:p>
    <w:p>
      <w:pPr>
        <w:pStyle w:val="ListParagraph"/>
        <w:numPr>
          <w:ilvl w:val="0"/>
          <w:numId w:val="2"/>
        </w:numPr>
        <w:spacing w:after="120" w:line="276"/>
      </w:pPr>
      <w:r>
        <w:t xml:space="preserve">I turn to the sampling. Wraysbury examined 400 castings drawn across all of the relevant deliveries, not (as Brevdale suggests) from a single order. The selection was made by Wraysbury, not by Harrow, precisely to ensure that it was representative. I exhibit Wraysbury’s sampling record at MC1/088.</w:t>
      </w:r>
    </w:p>
    <w:p>
      <w:pPr>
        <w:pStyle w:val="ListParagraph"/>
        <w:numPr>
          <w:ilvl w:val="0"/>
          <w:numId w:val="2"/>
        </w:numPr>
        <w:spacing w:after="120" w:line="276"/>
      </w:pPr>
      <w:r>
        <w:t xml:space="preserve">The financial consequences for Harrow have been severe. We have had to buy in replacement castings from an alternative foundry at a premium; strip and rebuild affected units; and meet a claim from Stratton Energy plc under our framework contract for late and defective supply. Those losses are set out in the Schedule of Loss, the figures in which I have checked and confirm to be accurate.</w:t>
      </w:r>
    </w:p>
    <w:p>
      <w:pPr>
        <w:pStyle w:val="ListParagraph"/>
        <w:numPr>
          <w:ilvl w:val="0"/>
          <w:numId w:val="2"/>
        </w:numPr>
        <w:spacing w:after="120" w:line="276"/>
      </w:pPr>
      <w:r>
        <w:t xml:space="preserve">Throughout, Harrow gave Brevdale the opportunity to inspect the failed castings and to put matters right. Brevdale declined to accept that its castings were at fault. I do not consider that Harrow could reasonably have done anything further to reduce its loss.</w:t>
      </w:r>
    </w:p>
    <w:p>
      <w:pPr>
        <w:spacing w:after="160" w:line="276"/>
      </w:pPr>
      <w:r>
        <w:t xml:space="preserve"/>
      </w:r>
    </w:p>
    <w:p>
      <w:pPr>
        <w:pStyle w:val="Heading2"/>
      </w:pPr>
      <w:r>
        <w:t xml:space="preserve">Statement of Truth</w:t>
      </w:r>
    </w:p>
    <w:p>
      <w:pPr>
        <w:spacing w:after="120" w:line="276"/>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line="276"/>
      </w:pPr>
      <w:r>
        <w:t xml:space="preserve">Signed: ............................................</w:t>
      </w:r>
    </w:p>
    <w:p>
      <w:pPr>
        <w:spacing w:after="120" w:line="276"/>
      </w:pPr>
      <w:r>
        <w:t xml:space="preserve">Name: Martin Calloway</w:t>
      </w:r>
    </w:p>
    <w:p>
      <w:pPr>
        <w:spacing w:after="120" w:line="276"/>
      </w:pPr>
      <w:r>
        <w:t xml:space="preserve">Dated: 19 September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Witness Statement of M. Calloway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2026-06-26T16:30:01.634Z</dcterms:created>
  <dcterms:modified xsi:type="dcterms:W3CDTF">2026-06-26T16:30:01.634Z</dcterms:modified>
</cp:coreProperties>
</file>

<file path=docProps/custom.xml><?xml version="1.0" encoding="utf-8"?>
<Properties xmlns="http://schemas.openxmlformats.org/officeDocument/2006/custom-properties" xmlns:vt="http://schemas.openxmlformats.org/officeDocument/2006/docPropsVTypes"/>
</file>