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CHRONOLOGY</w:t>
      </w:r>
    </w:p>
    <w:p>
      <w:pPr>
        <w:spacing w:after="160"/>
        <w:jc w:val="center"/>
      </w:pPr>
      <w:r>
        <w:t xml:space="preserve">Harrow Precision Engineering Limited v Melbourne Sealtech Limited – Claim No. HT‑2025‑000318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 2023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 Agreement between Harrow Precision Engineering Ltd and Melbourne Sealtech Ltd for Type MS‑72 cartridge seals (unit price £214).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2023 – Aug 2024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1,860 MS‑72 seals delivered against call‑off purchase orders; incorporated into Series HP‑400 pumps.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Aug 2023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Five‑year pump supply framework agreement between Harrow and Pennland Water plc commences.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 2024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reported premature seal failures in HP‑400 pumps in the field (&lt;3,000 running hours).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Oct–Dec 2024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 rate rises; Harrow opens internal quality investigation QIR‑2024‑118; failed seals recovered for examination.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Dec 2024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Harrow notifies Melbourne Sealtech of failures and requests batch and QC records.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Jan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Pennland Water plc terminates the framework agreement citing HP‑400 reliability failures.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Mar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Harrow instructs Whitfield Carter LLP.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Apr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of claim served under the Pre‑Action Protocol.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May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Melbourne Sealtech (Denham Lewis LLP) responds denying liability.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Jun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Particulars of Claim issued in the TCC (Claim No. HT‑2025‑000318).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Aug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served.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Sept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Trentham Tribology Laboratory expert report finalised.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Oct 2025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Costs and case management conference; directions given.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18"/>
          <w:szCs w:val="18"/>
        </w:rPr>
        <w:t xml:space="preserve">Prepared by Whitfield Carter LLP for the Claimant. This chronology is a working document and may be updated as the matter progresses.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40"/>
      <w:jc w:val="center"/>
    </w:pPr>
    <w:r>
      <w:rPr>
        <w:color w:val="888888"/>
        <w:sz w:val="13"/>
        <w:szCs w:val="13"/>
      </w:rPr>
      <w:t xml:space="preserve">Chronology  |  Whitfield Carter LLP is a limited liability partnership registered in England &amp; Wales.  Confidential and may be legally privileged.</w:t>
    </w:r>
  </w:p>
  <w:p>
    <w:pPr>
      <w:jc w:val="right"/>
    </w:pPr>
    <w:r>
      <w:rPr>
        <w:sz w:val="15"/>
        <w:szCs w:val="15"/>
      </w:rPr>
      <w:t xml:space="preserve">Page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sz w:val="15"/>
        <w:szCs w:val="15"/>
      </w:rPr>
      <w:t xml:space="preserve"> of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  <w:lvl w:ilvl="1" w15:tentative="1">
      <w:start w:val="1"/>
      <w:numFmt w:val="decimal"/>
      <w:lvlText w:val="%1.%2"/>
      <w:lvlJc w:val="left"/>
      <w:pPr>
        <w:ind w:left="10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2026-07-01T12:03:50.524Z</dcterms:created>
  <dcterms:modified xsi:type="dcterms:W3CDTF">2026-07-01T12:03:50.524Z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