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PRIVATE &amp; CONFIDENTIAL</w:t>
      </w:r>
    </w:p>
    <w:p>
      <w:pPr>
        <w:spacing w:after="120"/>
      </w:pPr>
      <w:r>
        <w:t xml:space="preserve">Mr Gavin Harrow</w:t>
      </w:r>
    </w:p>
    <w:p>
      <w:pPr>
        <w:spacing w:after="120"/>
      </w:pPr>
      <w:r>
        <w:t xml:space="preserve">Managing Director</w:t>
      </w:r>
    </w:p>
    <w:p>
      <w:pPr>
        <w:spacing w:after="120"/>
      </w:pPr>
      <w:r>
        <w:t xml:space="preserve">Harrow Precision Engineering Limited</w:t>
      </w:r>
    </w:p>
    <w:p>
      <w:pPr>
        <w:spacing w:after="120"/>
      </w:pPr>
      <w:r>
        <w:t xml:space="preserve">Fenwick Industrial Estate, Rotherham S60 1RT</w:t>
      </w:r>
    </w:p>
    <w:p>
      <w:pPr>
        <w:spacing w:after="120"/>
      </w:pPr>
      <w:r>
        <w:t xml:space="preserve"/>
      </w:r>
    </w:p>
    <w:p>
      <w:pPr>
        <w:spacing w:after="120"/>
        <w:jc w:val="right"/>
      </w:pPr>
      <w:r>
        <w:t xml:space="preserve">3 March 2025</w:t>
      </w:r>
    </w:p>
    <w:p>
      <w:pPr>
        <w:spacing w:after="120"/>
      </w:pPr>
      <w:r>
        <w:t xml:space="preserve"/>
      </w:r>
    </w:p>
    <w:p>
      <w:pPr>
        <w:spacing w:after="120"/>
      </w:pPr>
      <w:r>
        <w:t xml:space="preserve">Dear Gavin</w:t>
      </w:r>
    </w:p>
    <w:p>
      <w:pPr>
        <w:spacing w:after="120"/>
      </w:pPr>
      <w:r>
        <w:rPr>
          <w:b/>
          <w:bCs/>
        </w:rPr>
        <w:t xml:space="preserve">Harrow Precision Engineering Limited – potential claim against Melbourne Sealtech Limited (defective HP‑400 cartridge seals)</w:t>
      </w:r>
    </w:p>
    <w:p>
      <w:pPr>
        <w:spacing w:after="120"/>
      </w:pPr>
      <w:r>
        <w:t xml:space="preserve">Thank you for instructing Whitfield Carter LLP in connection with the losses arising from the premature failure of mechanical cartridge seals supplied to Harrow Precision Engineering Limited (“Harrow” or “the Company”) by Melbourne Sealtech Limited (“Melbourne Sealtech”). This letter, together with our enclosed standard terms of business, sets out the basis on which we will act.</w:t>
      </w:r>
    </w:p>
    <w:p>
      <w:pPr>
        <w:pStyle w:val="Heading2"/>
      </w:pPr>
      <w:r>
        <w:t xml:space="preserve">1.  Scope of our engagement</w:t>
      </w:r>
    </w:p>
    <w:p>
      <w:pPr>
        <w:spacing w:after="120"/>
      </w:pPr>
      <w:r>
        <w:t xml:space="preserve">Our instructions are to advise the Company on, and where appropriate to pursue, a claim against Melbourne Sealtech in respect of the supply of defective Type MS‑72 cartridge seals used in the Company’s Series HP‑400 centrifugal pumps. Our engagement presently covers: (a) reviewing the supply contract, purchase orders and technical specifications; (b) advising on liability and quantum; (c) pre‑action correspondence under the Pre‑Action Protocol for Construction and Engineering Disputes; and (d) if matters are not resolved, the issue and conduct of proceedings in the Technology and Construction Court.</w:t>
      </w:r>
    </w:p>
    <w:p>
      <w:pPr>
        <w:spacing w:after="120"/>
      </w:pPr>
      <w:r>
        <w:t xml:space="preserve">Any advice on the Company’s separate warranty exposure to its own customers, or on its product‑liability insurance position, is outside this engagement unless separately agreed in writing.</w:t>
      </w:r>
    </w:p>
    <w:p>
      <w:pPr>
        <w:pStyle w:val="Heading2"/>
      </w:pPr>
      <w:r>
        <w:t xml:space="preserve">2.  Our team and responsibility</w:t>
      </w:r>
    </w:p>
    <w:p>
      <w:pPr>
        <w:spacing w:after="120"/>
      </w:pPr>
      <w:r>
        <w:t xml:space="preserve">Sarah Whitfield (Partner) has overall responsibility for this matter and is the person you should contact if you have any concern about our service. The day‑to‑day conduct of the matter will be led by Tom Gallagher (Associate), supported by Elena Marchetti (Associate). Where the value or complexity of the dispute warrants it, we will instruct counsel; we anticipate instructing Nathaniel Okonjo of Eldon Chambers.</w:t>
      </w:r>
    </w:p>
    <w:p>
      <w:pPr>
        <w:pStyle w:val="Heading2"/>
      </w:pPr>
      <w:r>
        <w:t xml:space="preserve">3.  Fees and disbursements</w:t>
      </w:r>
    </w:p>
    <w:p>
      <w:pPr>
        <w:spacing w:after="120"/>
      </w:pPr>
      <w:r>
        <w:t xml:space="preserve">Our fees are charged by reference to the time spent, at the following hourly rates (exclusive of VAT): Partner £595; Senior Associate £445; Associate £350; Trainee/Paralegal £180. Disbursements (including counsel’s fees, court fees, and the fees of any expert) will be charged in addition. We estimate our fees for the pre‑action phase (to and including service of a letter of claim and review of any response) at £35,000 to £45,000 plus VAT and disbursements. We will provide a further estimate before proceedings are issued.</w:t>
      </w:r>
    </w:p>
    <w:p>
      <w:pPr>
        <w:spacing w:after="120"/>
      </w:pPr>
      <w:r>
        <w:t xml:space="preserve">Court issue fees are calculated on the value of the claim and are capped at £10,000 for money claims of £200,000 or more; on the present figures the issue fee will be £10,000.</w:t>
      </w:r>
    </w:p>
    <w:p>
      <w:pPr>
        <w:pStyle w:val="Heading2"/>
      </w:pPr>
      <w:r>
        <w:t xml:space="preserve">4.  Funding and costs recovery</w:t>
      </w:r>
    </w:p>
    <w:p>
      <w:pPr>
        <w:spacing w:after="120"/>
      </w:pPr>
      <w:r>
        <w:t xml:space="preserve">We have discussed funding options. The Company will fund the matter privately on our standard terms. You should be aware that even a successful party does not usually recover all of its costs from its opponent; recovery of between 60% and 70% of assessed costs is typical on the standard basis. We will keep the question of proportionality of costs under review as the matter progresses.</w:t>
      </w:r>
    </w:p>
    <w:p>
      <w:pPr>
        <w:pStyle w:val="Heading2"/>
      </w:pPr>
      <w:r>
        <w:t xml:space="preserve">5.  Limitation</w:t>
      </w:r>
    </w:p>
    <w:p>
      <w:pPr>
        <w:spacing w:after="120"/>
      </w:pPr>
      <w:r>
        <w:t xml:space="preserve">We draw your attention to the importance of limitation periods. On the information presently available, the earliest defective deliveries were made in 2023 and the primary six‑year limitation period for breach of contract is not imminent; nonetheless we will confirm the relevant dates once we have reviewed the delivery records.</w:t>
      </w:r>
    </w:p>
    <w:p>
      <w:pPr>
        <w:pStyle w:val="Heading2"/>
      </w:pPr>
      <w:r>
        <w:t xml:space="preserve">6.  Standard terms</w:t>
      </w:r>
    </w:p>
    <w:p>
      <w:pPr>
        <w:spacing w:after="120"/>
      </w:pPr>
      <w:r>
        <w:t xml:space="preserve">Our engagement is subject to the enclosed terms of business, which cover matters including confidentiality, data protection, our complaints procedure, and the circumstances in which we may cease to act. Please sign and return the enclosed copy of this letter to confirm your acceptance.</w:t>
      </w:r>
    </w:p>
    <w:p>
      <w:pPr>
        <w:spacing w:after="120"/>
      </w:pPr>
      <w:r>
        <w:t xml:space="preserve">We look forward to working with you on this matter.</w:t>
      </w:r>
    </w:p>
    <w:p>
      <w:pPr>
        <w:spacing w:after="120"/>
      </w:pPr>
      <w:r>
        <w:t xml:space="preserve"/>
      </w:r>
    </w:p>
    <w:p>
      <w:pPr>
        <w:spacing w:after="120"/>
      </w:pPr>
      <w:r>
        <w:t xml:space="preserve">Yours sincerely</w:t>
      </w:r>
    </w:p>
    <w:p>
      <w:pPr>
        <w:spacing w:after="120"/>
      </w:pPr>
      <w:r>
        <w:t xml:space="preserve"/>
      </w:r>
    </w:p>
    <w:p>
      <w:pPr>
        <w:spacing w:after="120"/>
      </w:pPr>
      <w:r>
        <w:rPr>
          <w:b/>
          <w:bCs/>
        </w:rPr>
        <w:t xml:space="preserve">Sarah Whitfield</w:t>
      </w:r>
    </w:p>
    <w:p>
      <w:pPr>
        <w:spacing w:after="120"/>
      </w:pPr>
      <w:r>
        <w:t xml:space="preserve">Partner, Dispute Resolution</w:t>
      </w:r>
    </w:p>
    <w:p>
      <w:pPr>
        <w:spacing w:after="120"/>
      </w:pPr>
      <w:r>
        <w:t xml:space="preserve">For and on behalf of Whitfield Carter LLP</w:t>
      </w:r>
    </w:p>
    <w:p>
      <w:pPr>
        <w:spacing w:after="120"/>
      </w:pPr>
      <w:r>
        <w:t xml:space="preserve">sarah.whitfield@whitfieldcarter.com  |  +44 (0)20 7946 0114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jc w:val="center"/>
    </w:pPr>
    <w:r>
      <w:rPr>
        <w:color w:val="888888"/>
        <w:sz w:val="13"/>
        <w:szCs w:val="13"/>
      </w:rPr>
      <w:t xml:space="preserve">Our ref: SW/TG/HAR‑09  |  Whitfield Carter LLP is a limited liability partnership registered in England &amp; Wales.  Confidential and may be legally privileged.</w:t>
    </w:r>
  </w:p>
  <w:p>
    <w:pPr>
      <w:jc w:val="right"/>
    </w:pPr>
    <w:r>
      <w:rPr>
        <w:sz w:val="15"/>
        <w:szCs w:val="15"/>
      </w:rPr>
      <w:t xml:space="preserve">Page </w:t>
    </w:r>
    <w:r>
      <w:rPr>
        <w:sz w:val="15"/>
        <w:szCs w:val="15"/>
      </w:rPr>
      <w:fldChar w:fldCharType="begin"/>
      <w:instrText xml:space="preserve">PAGE</w:instrText>
      <w:fldChar w:fldCharType="separate"/>
      <w:fldChar w:fldCharType="end"/>
    </w:r>
    <w:r>
      <w:rPr>
        <w:sz w:val="15"/>
        <w:szCs w:val="15"/>
      </w:rPr>
      <w:t xml:space="preserve"> of </w:t>
    </w:r>
    <w:r>
      <w:rPr>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55555"/>
        <w:sz w:val="16"/>
        <w:szCs w:val="16"/>
      </w:rPr>
      <w:t xml:space="preserve">22 Bishopsgate, London EC2N 4BQ</w:t>
    </w:r>
  </w:p>
  <w:p>
    <w:pPr>
      <w:pBdr>
        <w:bottom w:val="single" w:color="1F3864" w:sz="6" w:space="4"/>
      </w:pBdr>
      <w:spacing w:after="80"/>
      <w:jc w:val="right"/>
    </w:pPr>
    <w:r>
      <w:rPr>
        <w:color w:val="888888"/>
        <w:sz w:val="14"/>
        <w:szCs w:val="14"/>
      </w:rPr>
      <w:t xml:space="preserve">T +44 (0)20 7946 0100  |  DX 138760 Cheapside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400"/>
      </w:pPr>
    </w:lvl>
    <w:lvl w:ilvl="1" w15:tentative="1">
      <w:start w:val="1"/>
      <w:numFmt w:val="decimal"/>
      <w:lvlText w:val="%1.%2"/>
      <w:lvlJc w:val="left"/>
      <w:pPr>
        <w:ind w:left="108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2026-07-01T12:03:50.426Z</dcterms:created>
  <dcterms:modified xsi:type="dcterms:W3CDTF">2026-07-01T12:03:50.427Z</dcterms:modified>
</cp:coreProperties>
</file>

<file path=docProps/custom.xml><?xml version="1.0" encoding="utf-8"?>
<Properties xmlns="http://schemas.openxmlformats.org/officeDocument/2006/custom-properties" xmlns:vt="http://schemas.openxmlformats.org/officeDocument/2006/docPropsVTypes"/>
</file>