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rPr>
        <w:t xml:space="preserve">BY EMAIL AND FIRST‑CLASS POST</w:t>
      </w:r>
    </w:p>
    <w:p>
      <w:pPr>
        <w:spacing w:after="120"/>
      </w:pPr>
      <w:r>
        <w:t xml:space="preserve">The Directors</w:t>
      </w:r>
    </w:p>
    <w:p>
      <w:pPr>
        <w:spacing w:after="120"/>
      </w:pPr>
      <w:r>
        <w:t xml:space="preserve">Melbourne Sealtech Limited</w:t>
      </w:r>
    </w:p>
    <w:p>
      <w:pPr>
        <w:spacing w:after="120"/>
      </w:pPr>
      <w:r>
        <w:t xml:space="preserve">Unit 4, Calderbrook Business Park, Oldham OL2 8QT</w:t>
      </w:r>
    </w:p>
    <w:p>
      <w:pPr>
        <w:spacing w:after="120"/>
      </w:pPr>
      <w:r>
        <w:t xml:space="preserve"/>
      </w:r>
    </w:p>
    <w:p>
      <w:pPr>
        <w:spacing w:after="120"/>
        <w:jc w:val="right"/>
      </w:pPr>
      <w:r>
        <w:t xml:space="preserve">14 April 2025</w:t>
      </w:r>
    </w:p>
    <w:p>
      <w:pPr>
        <w:spacing w:after="120"/>
      </w:pPr>
      <w:r>
        <w:t xml:space="preserve">Dear Sirs</w:t>
      </w:r>
    </w:p>
    <w:p>
      <w:pPr>
        <w:spacing w:after="120"/>
      </w:pPr>
      <w:r>
        <w:rPr>
          <w:b/>
          <w:bCs/>
        </w:rPr>
        <w:t xml:space="preserve">LETTER OF CLAIM – Harrow Precision Engineering Limited v Melbourne Sealtech Limited</w:t>
      </w:r>
    </w:p>
    <w:p>
      <w:pPr>
        <w:spacing w:after="120"/>
      </w:pPr>
      <w:r>
        <w:rPr>
          <w:b/>
          <w:bCs/>
        </w:rPr>
        <w:t xml:space="preserve">Supply of defective Type MS‑72 mechanical cartridge seals – Supply Agreement dated 9 May 2023</w:t>
      </w:r>
    </w:p>
    <w:p>
      <w:pPr>
        <w:spacing w:after="120"/>
      </w:pPr>
      <w:r>
        <w:t xml:space="preserve">We act for Harrow Precision Engineering Limited (“Our Client”), of Fenwick Industrial Estate, Rotherham S60 1RT. This is a letter of claim sent in accordance with the Pre‑Action Protocol for Construction and Engineering Disputes. Please acknowledge receipt within 14 days and provide a substantive response within 28 days.</w:t>
      </w:r>
    </w:p>
    <w:p>
      <w:pPr>
        <w:pStyle w:val="Heading2"/>
      </w:pPr>
      <w:r>
        <w:t xml:space="preserve">The parties and the contract</w:t>
      </w:r>
    </w:p>
    <w:p>
      <w:pPr>
        <w:pStyle w:val="ListParagraph"/>
        <w:numPr>
          <w:ilvl w:val="0"/>
          <w:numId w:val="2"/>
        </w:numPr>
        <w:spacing w:after="120"/>
      </w:pPr>
      <w:r>
        <w:t xml:space="preserve">By a written Supply Agreement dated 9 May 2023 (the “Agreement”), your company agreed to manufacture and supply to Our Client Type MS‑72 mechanical cartridge seals for incorporation into Our Client’s Series HP‑400 centrifugal pumps. The seals were supplied against Our Client’s call‑off purchase orders at a unit price of £214.</w:t>
      </w:r>
    </w:p>
    <w:p>
      <w:pPr>
        <w:pStyle w:val="ListParagraph"/>
        <w:numPr>
          <w:ilvl w:val="0"/>
          <w:numId w:val="2"/>
        </w:numPr>
        <w:spacing w:after="120"/>
      </w:pPr>
      <w:r>
        <w:t xml:space="preserve">Clause 8.1 of the Agreement warranted that the seals would be free from defects in materials and workmanship, would comply with the agreed technical specification (drawing HP‑400/SEAL Rev C), and would be fit for continuous duty in clean and lightly contaminated water applications at temperatures up to 90°C and shaft speeds up to 3,000 rpm for a design service life of not less than 25,000 running hours.</w:t>
      </w:r>
    </w:p>
    <w:p>
      <w:pPr>
        <w:pStyle w:val="Heading2"/>
      </w:pPr>
      <w:r>
        <w:t xml:space="preserve">The defects</w:t>
      </w:r>
    </w:p>
    <w:p>
      <w:pPr>
        <w:pStyle w:val="ListParagraph"/>
        <w:numPr>
          <w:ilvl w:val="0"/>
          <w:numId w:val="2"/>
        </w:numPr>
        <w:spacing w:after="120"/>
      </w:pPr>
      <w:r>
        <w:t xml:space="preserve">Between May 2023 and August 2024 your company delivered 1,860 MS‑72 seals against Our Client’s orders. From September 2024 onward, Our Client experienced a rising incidence of premature seal failures in HP‑400 pumps supplied to end customers, characterised by rapid wear and cracking of the primary carbon‑graphite seal face, loss of face flatness, and consequent leakage and pump failure, in many cases at fewer than 3,000 running hours – barely one‑eighth of the warranted service life.</w:t>
      </w:r>
    </w:p>
    <w:p>
      <w:pPr>
        <w:pStyle w:val="ListParagraph"/>
        <w:numPr>
          <w:ilvl w:val="0"/>
          <w:numId w:val="2"/>
        </w:numPr>
        <w:spacing w:after="120"/>
      </w:pPr>
      <w:r>
        <w:t xml:space="preserve">Our Client’s investigation, including metallurgical examination of failed seals, established that the seal faces supplied did not meet the specified material grade or flatness tolerance. The carbon‑graphite grade used had a substantially lower antimony impregnation than specified, and face flatness exceeded the specified 2‑helium‑light‑band tolerance. These are defects in materials and workmanship and render the seals not compliant with the specification and not fit for purpose, in breach of clause 8.1 and of the terms implied by sections 13 and 14 of the Sale of Goods Act 1979.</w:t>
      </w:r>
    </w:p>
    <w:p>
      <w:pPr>
        <w:pStyle w:val="Heading2"/>
      </w:pPr>
      <w:r>
        <w:t xml:space="preserve">Loss and damage</w:t>
      </w:r>
    </w:p>
    <w:p>
      <w:pPr>
        <w:pStyle w:val="ListParagraph"/>
        <w:numPr>
          <w:ilvl w:val="0"/>
          <w:numId w:val="2"/>
        </w:numPr>
        <w:spacing w:after="120"/>
      </w:pPr>
      <w:r>
        <w:t xml:space="preserve">As a result of your breaches Our Client has suffered loss and damage, presently estimated at £3,485,000, comprising: (a) the cost of replacement seals and remedial rebuild of affected pumps; (b) credits, refunds and warranty payments made to Our Client’s own customers; (c) the cost of a field recall and on‑site labour; (d) loss of profit on the termination by Pennland Water plc of a five‑year pump supply framework; and (e) investigation and expert costs. A detailed schedule of loss will follow.</w:t>
      </w:r>
    </w:p>
    <w:p>
      <w:pPr>
        <w:pStyle w:val="Heading2"/>
      </w:pPr>
      <w:r>
        <w:t xml:space="preserve">What we require</w:t>
      </w:r>
    </w:p>
    <w:p>
      <w:pPr>
        <w:spacing w:after="120"/>
      </w:pPr>
      <w:r>
        <w:t xml:space="preserve">We require your written confirmation, within 28 days, that you accept liability in principle, together with your proposals for the resolution of Our Client’s claim. Should you fail to respond substantively, Our Client reserves the right to issue proceedings without further notice and to rely on this letter on the question of costs.</w:t>
      </w:r>
    </w:p>
    <w:p>
      <w:pPr>
        <w:spacing w:after="120"/>
      </w:pPr>
      <w:r>
        <w:t xml:space="preserve">We remind you of your obligation to preserve all documents relevant to this dispute, including manufacturing, batch, raw‑material and quality‑control records for the MS‑72 seals, and to disclose your relevant insurance position.</w:t>
      </w:r>
    </w:p>
    <w:p>
      <w:pPr>
        <w:spacing w:after="120"/>
      </w:pPr>
      <w:r>
        <w:t xml:space="preserve">We look forward to hearing from you.</w:t>
      </w:r>
    </w:p>
    <w:p>
      <w:pPr>
        <w:spacing w:after="120"/>
      </w:pPr>
      <w:r>
        <w:t xml:space="preserve"/>
      </w:r>
    </w:p>
    <w:p>
      <w:pPr>
        <w:spacing w:after="120"/>
      </w:pPr>
      <w:r>
        <w:t xml:space="preserve">Yours faithfully</w:t>
      </w:r>
    </w:p>
    <w:p>
      <w:pPr>
        <w:spacing w:after="120"/>
      </w:pPr>
      <w:r>
        <w:t xml:space="preserve"/>
      </w:r>
    </w:p>
    <w:p>
      <w:pPr>
        <w:spacing w:after="120"/>
      </w:pPr>
      <w:r>
        <w:rPr>
          <w:b/>
          <w:bCs/>
        </w:rPr>
        <w:t xml:space="preserve">Whitfield Carter LLP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40"/>
      <w:jc w:val="center"/>
    </w:pPr>
    <w:r>
      <w:rPr>
        <w:color w:val="888888"/>
        <w:sz w:val="13"/>
        <w:szCs w:val="13"/>
      </w:rPr>
      <w:t xml:space="preserve">Our ref: SW/TG/HAR‑09  |  Whitfield Carter LLP is a limited liability partnership registered in England &amp; Wales.  Confidential and may be legally privileged.</w:t>
    </w:r>
  </w:p>
  <w:p>
    <w:pPr>
      <w:jc w:val="right"/>
    </w:pPr>
    <w:r>
      <w:rPr>
        <w:sz w:val="15"/>
        <w:szCs w:val="15"/>
      </w:rPr>
      <w:t xml:space="preserve">Page </w:t>
    </w:r>
    <w:r>
      <w:rPr>
        <w:sz w:val="15"/>
        <w:szCs w:val="15"/>
      </w:rPr>
      <w:fldChar w:fldCharType="begin"/>
      <w:instrText xml:space="preserve">PAGE</w:instrText>
      <w:fldChar w:fldCharType="separate"/>
      <w:fldChar w:fldCharType="end"/>
    </w:r>
    <w:r>
      <w:rPr>
        <w:sz w:val="15"/>
        <w:szCs w:val="15"/>
      </w:rPr>
      <w:t xml:space="preserve"> of </w:t>
    </w:r>
    <w:r>
      <w:rPr>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b/>
        <w:bCs/>
        <w:color w:val="1F3864"/>
        <w:sz w:val="26"/>
        <w:szCs w:val="26"/>
      </w:rPr>
      <w:t xml:space="preserve">Whitfield Carter LLP</w:t>
    </w:r>
  </w:p>
  <w:p>
    <w:pPr>
      <w:spacing w:after="0"/>
      <w:jc w:val="right"/>
    </w:pPr>
    <w:r>
      <w:rPr>
        <w:color w:val="555555"/>
        <w:sz w:val="16"/>
        <w:szCs w:val="16"/>
      </w:rPr>
      <w:t xml:space="preserve">22 Bishopsgate, London EC2N 4BQ</w:t>
    </w:r>
  </w:p>
  <w:p>
    <w:pPr>
      <w:pBdr>
        <w:bottom w:val="single" w:color="1F3864" w:sz="6" w:space="4"/>
      </w:pBdr>
      <w:spacing w:after="80"/>
      <w:jc w:val="right"/>
    </w:pPr>
    <w:r>
      <w:rPr>
        <w:color w:val="888888"/>
        <w:sz w:val="14"/>
        <w:szCs w:val="14"/>
      </w:rPr>
      <w:t xml:space="preserve">T +44 (0)20 7946 0100  |  DX 138760 Cheapside  |  www.whitfieldcarter.com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40" w:hanging="400"/>
      </w:pPr>
    </w:lvl>
    <w:lvl w:ilvl="1" w15:tentative="1">
      <w:start w:val="1"/>
      <w:numFmt w:val="decimal"/>
      <w:lvlText w:val="%1.%2"/>
      <w:lvlJc w:val="left"/>
      <w:pPr>
        <w:ind w:left="1080" w:hanging="48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6"/>
      <w:szCs w:val="26"/>
    </w:rPr>
  </w:style>
  <w:style w:type="paragraph" w:styleId="Heading2">
    <w:name w:val="Heading 2"/>
    <w:basedOn w:val="Normal"/>
    <w:next w:val="Normal"/>
    <w:qFormat/>
    <w:pPr>
      <w:spacing w:after="120" w:before="18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2026-07-01T12:03:50.473Z</dcterms:created>
  <dcterms:modified xsi:type="dcterms:W3CDTF">2026-07-01T12:03:50.473Z</dcterms:modified>
</cp:coreProperties>
</file>

<file path=docProps/custom.xml><?xml version="1.0" encoding="utf-8"?>
<Properties xmlns="http://schemas.openxmlformats.org/officeDocument/2006/custom-properties" xmlns:vt="http://schemas.openxmlformats.org/officeDocument/2006/docPropsVTypes"/>
</file>