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t xml:space="preserve">Claim No. HT‑2025‑000318</w:t>
      </w:r>
    </w:p>
    <w:p>
      <w:pPr>
        <w:jc w:val="right"/>
      </w:pPr>
      <w:r>
        <w:t xml:space="preserve">Claimant: 1st witness</w:t>
      </w:r>
    </w:p>
    <w:p>
      <w:pPr>
        <w:jc w:val="right"/>
      </w:pPr>
      <w:r>
        <w:t xml:space="preserve">M. Calloway</w:t>
      </w:r>
    </w:p>
    <w:p>
      <w:pPr>
        <w:spacing w:after="160"/>
        <w:jc w:val="right"/>
      </w:pPr>
      <w:r>
        <w:t xml:space="preserve">Exhibits: MC1 – MC4</w:t>
      </w:r>
    </w:p>
    <w:p>
      <w:pPr>
        <w:spacing w:after="40"/>
        <w:jc w:val="center"/>
      </w:pPr>
      <w:r>
        <w:rPr>
          <w:b/>
          <w:bCs/>
        </w:rPr>
        <w:t xml:space="preserve">IN THE HIGH COURT OF JUSTICE, BUSINESS AND PROPERTY COURTS</w:t>
      </w:r>
    </w:p>
    <w:p>
      <w:pPr>
        <w:spacing w:after="160"/>
        <w:jc w:val="center"/>
      </w:pPr>
      <w:r>
        <w:rPr>
          <w:b/>
          <w:bCs/>
        </w:rPr>
        <w:t xml:space="preserve">TECHNOLOGY AND CONSTRUCTION COURT (KBD)</w:t>
      </w:r>
    </w:p>
    <w:p>
      <w:pPr>
        <w:spacing w:after="120"/>
      </w:pPr>
      <w:r>
        <w:t xml:space="preserve">BETWEEN Harrow Precision Engineering Limited (Claimant) and Melbourne Sealtech Limited (Defendant)</w:t>
      </w:r>
    </w:p>
    <w:p>
      <w:pPr>
        <w:spacing w:after="160" w:before="120"/>
        <w:jc w:val="center"/>
      </w:pPr>
      <w:r>
        <w:rPr>
          <w:b/>
          <w:bCs/>
        </w:rPr>
        <w:t xml:space="preserve">WITNESS STATEMENT OF MARTIN CALLOWAY</w:t>
      </w:r>
    </w:p>
    <w:p>
      <w:pPr>
        <w:pStyle w:val="ListParagraph"/>
        <w:numPr>
          <w:ilvl w:val="0"/>
          <w:numId w:val="2"/>
        </w:numPr>
        <w:spacing w:after="120"/>
      </w:pPr>
      <w:r>
        <w:t xml:space="preserve">I am Martin Calloway. I am the Quality and Production Director of Harrow Precision Engineering Limited (“Harrow”). I have held that position since 2019 and I have worked in the pump industry for over 24 years. I am authorised to make this statement on behalf of Harrow. The facts stated are within my own knowledge except where I indicate otherwise, in which case I identify the source and believe them to be true.</w:t>
      </w:r>
    </w:p>
    <w:p>
      <w:pPr>
        <w:pStyle w:val="ListParagraph"/>
        <w:numPr>
          <w:ilvl w:val="0"/>
          <w:numId w:val="2"/>
        </w:numPr>
        <w:spacing w:after="120"/>
      </w:pPr>
      <w:r>
        <w:t xml:space="preserve">In this statement I explain (i) how Harrow specifies and sources the mechanical seals used in its HP‑400 pumps; (ii) how the failures of the Melbourne Sealtech MS‑72 seals came to light; (iii) the investigation Harrow carried out; and (iv) the steps Harrow took to contain the problem.</w:t>
      </w:r>
    </w:p>
    <w:p>
      <w:pPr>
        <w:pStyle w:val="Heading2"/>
      </w:pPr>
      <w:r>
        <w:t xml:space="preserve">The HP‑400 pump and the MS‑72 seal</w:t>
      </w:r>
    </w:p>
    <w:p>
      <w:pPr>
        <w:pStyle w:val="ListParagraph"/>
        <w:numPr>
          <w:ilvl w:val="0"/>
          <w:numId w:val="2"/>
        </w:numPr>
        <w:spacing w:after="120"/>
      </w:pPr>
      <w:r>
        <w:t xml:space="preserve">The HP‑400 is our mid‑range end‑suction water pump, used widely by water utilities and in building services. The mechanical seal is a critical wear part. In 2023 we moved our cartridge‑seal supply for the HP‑400 to Melbourne Sealtech under the Supply Agreement dated 9 May 2023. We provided Melbourne Sealtech with our drawing HP‑400/SEAL Rev C, which specifies an antimony‑impregnated carbon‑graphite face of grade CG‑218 and a lapped face flatness of two helium light bands.</w:t>
      </w:r>
    </w:p>
    <w:p>
      <w:pPr>
        <w:pStyle w:val="ListParagraph"/>
        <w:numPr>
          <w:ilvl w:val="0"/>
          <w:numId w:val="2"/>
        </w:numPr>
        <w:spacing w:after="120"/>
      </w:pPr>
      <w:r>
        <w:t xml:space="preserve">Grade and flatness matter. If the carbon grade is under‑impregnated it wears and cracks under the frictional heat of running; if the face is not flat it cannot maintain the thin fluid film that keeps the faces apart, and it leaks. A properly made seal to our specification should run for well beyond 25,000 hours.</w:t>
      </w:r>
    </w:p>
    <w:p>
      <w:pPr>
        <w:pStyle w:val="Heading2"/>
      </w:pPr>
      <w:r>
        <w:t xml:space="preserve">Discovery of the failures</w:t>
      </w:r>
    </w:p>
    <w:p>
      <w:pPr>
        <w:pStyle w:val="ListParagraph"/>
        <w:numPr>
          <w:ilvl w:val="0"/>
          <w:numId w:val="2"/>
        </w:numPr>
        <w:spacing w:after="120"/>
      </w:pPr>
      <w:r>
        <w:t xml:space="preserve">From September 2024 our service desk began logging an unusual number of seal‑related warranty returns on HP‑400 pumps that were only months into service. By December 2024 we had 61 confirmed field failures, several at customer sites operated by Pennland Water plc, our largest customer under a five‑year framework. The failures were remarkably consistent: heavy wear and radial cracking of the carbon face, and leakage, typically at well under 3,000 running hours.</w:t>
      </w:r>
    </w:p>
    <w:p>
      <w:pPr>
        <w:pStyle w:val="ListParagraph"/>
        <w:numPr>
          <w:ilvl w:val="0"/>
          <w:numId w:val="2"/>
        </w:numPr>
        <w:spacing w:after="120"/>
      </w:pPr>
      <w:r>
        <w:t xml:space="preserve">I opened internal quality investigation QIR‑2024‑118. We recovered failed seals from the field and sectioned a sample in our own metrology lab. The carbon faces were visibly glazed and cracked, and our flatness checks on a monochromatic light box showed many faces well outside our two‑band tolerance. We retained a sample of unused seals from stock and sent both failed and unused seals to Trentham Tribology Laboratory for independent analysis.</w:t>
      </w:r>
    </w:p>
    <w:p>
      <w:pPr>
        <w:pStyle w:val="Heading2"/>
      </w:pPr>
      <w:r>
        <w:t xml:space="preserve">Containment and consequences</w:t>
      </w:r>
    </w:p>
    <w:p>
      <w:pPr>
        <w:pStyle w:val="ListParagraph"/>
        <w:numPr>
          <w:ilvl w:val="0"/>
          <w:numId w:val="2"/>
        </w:numPr>
        <w:spacing w:after="120"/>
      </w:pPr>
      <w:r>
        <w:t xml:space="preserve">We initiated a field recall of at‑risk HP‑400 units and mobilised service crews to replace seals on site. We sourced replacement seals from an alternative supplier to our specification and rebuilt affected pumps. On 20 January 2025 Pennland Water plc terminated the framework agreement, citing the reliability of the HP‑400. The recall, rework, customer credits and lost framework have been very damaging to Harrow, both financially and to our reputation with water utilities.</w:t>
      </w:r>
    </w:p>
    <w:p>
      <w:pPr>
        <w:pStyle w:val="ListParagraph"/>
        <w:numPr>
          <w:ilvl w:val="0"/>
          <w:numId w:val="2"/>
        </w:numPr>
        <w:spacing w:after="120"/>
      </w:pPr>
      <w:r>
        <w:t xml:space="preserve">I produce as exhibit MC1 a bundle of the field failure reports; as MC2 our internal investigation report QIR‑2024‑118; as MC3 the Pennland Water termination letter of 20 January 2025; and as MC4 the correspondence with Melbourne Sealtech requesting batch and QC records.</w:t>
      </w:r>
    </w:p>
    <w:p>
      <w:pPr>
        <w:spacing w:before="200"/>
      </w:pPr>
      <w:r>
        <w:rPr>
          <w:b/>
          <w:bCs/>
        </w:rPr>
        <w:t xml:space="preserve">Statement of Truth</w:t>
      </w:r>
    </w:p>
    <w:p>
      <w:pPr>
        <w:spacing w:after="120"/>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spacing w:after="120"/>
      </w:pPr>
      <w:r>
        <w:t xml:space="preserve"/>
      </w:r>
    </w:p>
    <w:p>
      <w:pPr>
        <w:spacing w:after="120"/>
      </w:pPr>
      <w:r>
        <w:t xml:space="preserve">Signed: ................................</w:t>
      </w:r>
    </w:p>
    <w:p>
      <w:pPr>
        <w:spacing w:after="120"/>
      </w:pPr>
      <w:r>
        <w:t xml:space="preserve">Martin Calloway</w:t>
      </w:r>
    </w:p>
    <w:p>
      <w:pPr>
        <w:spacing w:after="120"/>
      </w:pPr>
      <w:r>
        <w:t xml:space="preserve">Dated: 26 September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40"/>
      <w:jc w:val="center"/>
    </w:pPr>
    <w:r>
      <w:rPr>
        <w:color w:val="888888"/>
        <w:sz w:val="13"/>
        <w:szCs w:val="13"/>
      </w:rPr>
      <w:t xml:space="preserve">Witness Statement of Martin Calloway  |  Whitfield Carter LLP is a limited liability partnership registered in England &amp; Wales.  Confidential and may be legally privileged.</w:t>
    </w:r>
  </w:p>
  <w:p>
    <w:pPr>
      <w:jc w:val="right"/>
    </w:pPr>
    <w:r>
      <w:rPr>
        <w:sz w:val="15"/>
        <w:szCs w:val="15"/>
      </w:rPr>
      <w:t xml:space="preserve">Page </w:t>
    </w:r>
    <w:r>
      <w:rPr>
        <w:sz w:val="15"/>
        <w:szCs w:val="15"/>
      </w:rPr>
      <w:fldChar w:fldCharType="begin"/>
      <w:instrText xml:space="preserve">PAGE</w:instrText>
      <w:fldChar w:fldCharType="separate"/>
      <w:fldChar w:fldCharType="end"/>
    </w:r>
    <w:r>
      <w:rPr>
        <w:sz w:val="15"/>
        <w:szCs w:val="15"/>
      </w:rPr>
      <w:t xml:space="preserve"> of </w:t>
    </w:r>
    <w:r>
      <w:rPr>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400"/>
      </w:pPr>
    </w:lvl>
    <w:lvl w:ilvl="1" w15:tentative="1">
      <w:start w:val="1"/>
      <w:numFmt w:val="decimal"/>
      <w:lvlText w:val="%1.%2"/>
      <w:lvlJc w:val="left"/>
      <w:pPr>
        <w:ind w:left="108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2026-07-01T12:03:50.540Z</dcterms:created>
  <dcterms:modified xsi:type="dcterms:W3CDTF">2026-07-01T12:03:50.540Z</dcterms:modified>
</cp:coreProperties>
</file>

<file path=docProps/custom.xml><?xml version="1.0" encoding="utf-8"?>
<Properties xmlns="http://schemas.openxmlformats.org/officeDocument/2006/custom-properties" xmlns:vt="http://schemas.openxmlformats.org/officeDocument/2006/docPropsVTypes"/>
</file>