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64"/>
      </w:pPr>
      <w:r>
        <w:rPr>
          <w:b/>
          <w:bCs/>
        </w:rPr>
        <w:t xml:space="preserve">LEGALLY PRIVILEGED &amp; CONFIDENTIAL</w:t>
      </w:r>
    </w:p>
    <w:p>
      <w:pPr>
        <w:spacing w:after="200" w:before="0" w:line="264"/>
      </w:pPr>
      <w:r>
        <w:rPr>
          <w:i/>
          <w:iCs/>
        </w:rPr>
        <w:t xml:space="preserve">Prepared for the Company – not to be disclosed to Mr Marsden or his advisers</w:t>
      </w:r>
    </w:p>
    <w:p>
      <w:pPr>
        <w:spacing w:after="40" w:before="0" w:line="264"/>
        <w:jc w:val="center"/>
      </w:pPr>
      <w:r>
        <w:rPr>
          <w:b/>
          <w:bCs/>
          <w:sz w:val="26"/>
          <w:szCs w:val="26"/>
        </w:rPr>
        <w:t xml:space="preserve">ADVICE NOTE</w:t>
      </w:r>
    </w:p>
    <w:p>
      <w:pPr>
        <w:spacing w:after="200" w:before="0" w:line="264"/>
        <w:jc w:val="center"/>
      </w:pPr>
      <w:r>
        <w:rPr>
          <w:b/>
          <w:bCs/>
        </w:rPr>
        <w:t xml:space="preserve">Merits, strategy and settlement parameters – P. Marsden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Mar>
              <w:top w:type="dxa" w:w="60"/>
              <w:left w:type="dxa" w:w="110"/>
              <w:bottom w:type="dxa" w:w="60"/>
              <w:right w:type="dxa" w:w="110"/>
            </w:tcMar>
            <w:vAlign w:val="center"/>
          </w:tcPr>
          <w:p>
            <w:pPr>
              <w:spacing w:after="0" w:line="252"/>
              <w:jc w:val="left"/>
            </w:pPr>
            <w:r>
              <w:rPr>
                <w:color w:val="000000"/>
                <w:sz w:val="20"/>
                <w:szCs w:val="20"/>
              </w:rPr>
              <w:t xml:space="preserve">To</w:t>
            </w:r>
          </w:p>
        </w:tc>
        <w:tc>
          <w:tcPr>
            <w:tcW w:type="dxa" w:w="6426"/>
            <w:tcMar>
              <w:top w:type="dxa" w:w="60"/>
              <w:left w:type="dxa" w:w="110"/>
              <w:bottom w:type="dxa" w:w="60"/>
              <w:right w:type="dxa" w:w="110"/>
            </w:tcMar>
            <w:vAlign w:val="center"/>
          </w:tcPr>
          <w:p>
            <w:pPr>
              <w:spacing w:after="0" w:line="252"/>
              <w:jc w:val="left"/>
            </w:pPr>
            <w:r>
              <w:rPr>
                <w:color w:val="000000"/>
                <w:sz w:val="20"/>
                <w:szCs w:val="20"/>
              </w:rPr>
              <w:t xml:space="preserve">Gavin Harrow (MD); Rebecca Lund (FD); Helen Brookes (HR Director)</w:t>
            </w:r>
          </w:p>
        </w:tc>
      </w:tr>
      <w:tr>
        <w:trPr>
          <w:tblHeader w:val="false"/>
        </w:trPr>
        <w:tc>
          <w:tcPr>
            <w:tcW w:type="dxa" w:w="2600"/>
            <w:tcMar>
              <w:top w:type="dxa" w:w="60"/>
              <w:left w:type="dxa" w:w="110"/>
              <w:bottom w:type="dxa" w:w="60"/>
              <w:right w:type="dxa" w:w="110"/>
            </w:tcMar>
            <w:vAlign w:val="center"/>
          </w:tcPr>
          <w:p>
            <w:pPr>
              <w:spacing w:after="0" w:line="252"/>
              <w:jc w:val="left"/>
            </w:pPr>
            <w:r>
              <w:rPr>
                <w:color w:val="000000"/>
                <w:sz w:val="20"/>
                <w:szCs w:val="20"/>
              </w:rPr>
              <w:t xml:space="preserve">From</w:t>
            </w:r>
          </w:p>
        </w:tc>
        <w:tc>
          <w:tcPr>
            <w:tcW w:type="dxa" w:w="6426"/>
            <w:tcMar>
              <w:top w:type="dxa" w:w="60"/>
              <w:left w:type="dxa" w:w="110"/>
              <w:bottom w:type="dxa" w:w="60"/>
              <w:right w:type="dxa" w:w="110"/>
            </w:tcMar>
            <w:vAlign w:val="center"/>
          </w:tcPr>
          <w:p>
            <w:pPr>
              <w:spacing w:after="0" w:line="252"/>
              <w:jc w:val="left"/>
            </w:pPr>
            <w:r>
              <w:rPr>
                <w:color w:val="000000"/>
                <w:sz w:val="20"/>
                <w:szCs w:val="20"/>
              </w:rPr>
              <w:t xml:space="preserve">Sarah Whitfield, Tom Gallagher</w:t>
            </w:r>
          </w:p>
        </w:tc>
      </w:tr>
      <w:tr>
        <w:trPr>
          <w:tblHeader w:val="false"/>
        </w:trPr>
        <w:tc>
          <w:tcPr>
            <w:tcW w:type="dxa" w:w="2600"/>
            <w:tcMar>
              <w:top w:type="dxa" w:w="60"/>
              <w:left w:type="dxa" w:w="110"/>
              <w:bottom w:type="dxa" w:w="60"/>
              <w:right w:type="dxa" w:w="110"/>
            </w:tcMar>
            <w:vAlign w:val="center"/>
          </w:tcPr>
          <w:p>
            <w:pPr>
              <w:spacing w:after="0" w:line="252"/>
              <w:jc w:val="left"/>
            </w:pPr>
            <w:r>
              <w:rPr>
                <w:color w:val="000000"/>
                <w:sz w:val="20"/>
                <w:szCs w:val="20"/>
              </w:rPr>
              <w:t xml:space="preserve">Date</w:t>
            </w:r>
          </w:p>
        </w:tc>
        <w:tc>
          <w:tcPr>
            <w:tcW w:type="dxa" w:w="6426"/>
            <w:tcMar>
              <w:top w:type="dxa" w:w="60"/>
              <w:left w:type="dxa" w:w="110"/>
              <w:bottom w:type="dxa" w:w="60"/>
              <w:right w:type="dxa" w:w="110"/>
            </w:tcMar>
            <w:vAlign w:val="center"/>
          </w:tcPr>
          <w:p>
            <w:pPr>
              <w:spacing w:after="0" w:line="252"/>
              <w:jc w:val="left"/>
            </w:pPr>
            <w:r>
              <w:rPr>
                <w:color w:val="000000"/>
                <w:sz w:val="20"/>
                <w:szCs w:val="20"/>
              </w:rPr>
              <w:t xml:space="preserve">12 February 2026</w:t>
            </w:r>
          </w:p>
        </w:tc>
      </w:tr>
      <w:tr>
        <w:trPr>
          <w:tblHeader w:val="false"/>
        </w:trPr>
        <w:tc>
          <w:tcPr>
            <w:tcW w:type="dxa" w:w="2600"/>
            <w:tcMar>
              <w:top w:type="dxa" w:w="60"/>
              <w:left w:type="dxa" w:w="110"/>
              <w:bottom w:type="dxa" w:w="60"/>
              <w:right w:type="dxa" w:w="110"/>
            </w:tcMar>
            <w:vAlign w:val="center"/>
          </w:tcPr>
          <w:p>
            <w:pPr>
              <w:spacing w:after="0" w:line="252"/>
              <w:jc w:val="left"/>
            </w:pPr>
            <w:r>
              <w:rPr>
                <w:color w:val="000000"/>
                <w:sz w:val="20"/>
                <w:szCs w:val="20"/>
              </w:rPr>
              <w:t xml:space="preserve">Matter</w:t>
            </w:r>
          </w:p>
        </w:tc>
        <w:tc>
          <w:tcPr>
            <w:tcW w:type="dxa" w:w="6426"/>
            <w:tcMar>
              <w:top w:type="dxa" w:w="60"/>
              <w:left w:type="dxa" w:w="110"/>
              <w:bottom w:type="dxa" w:w="60"/>
              <w:right w:type="dxa" w:w="110"/>
            </w:tcMar>
            <w:vAlign w:val="center"/>
          </w:tcPr>
          <w:p>
            <w:pPr>
              <w:spacing w:after="0" w:line="252"/>
              <w:jc w:val="left"/>
            </w:pPr>
            <w:r>
              <w:rPr>
                <w:color w:val="000000"/>
                <w:sz w:val="20"/>
                <w:szCs w:val="20"/>
              </w:rPr>
              <w:t xml:space="preserve">WC-00170 – P. Marsden / settlement</w:t>
            </w:r>
          </w:p>
        </w:tc>
      </w:tr>
    </w:tbl>
    <w:p>
      <w:pPr>
        <w:pStyle w:val="Heading2"/>
      </w:pPr>
      <w:r>
        <w:t xml:space="preserve">1.  Executive summary</w:t>
      </w:r>
    </w:p>
    <w:p>
      <w:pPr>
        <w:spacing w:after="120" w:before="0" w:line="264"/>
      </w:pPr>
      <w:r>
        <w:t xml:space="preserve">Mr Marsden has resigned and raised a grievance alleging constructive dismissal and detriment for protected disclosures. Our assessment is that a constructive unfair dismissal claim has modest prospects of success (we put them at around 30–35%) but that the protected-disclosure allegation, while weak on the evidence, carries disproportionate cost and reputational risk because (a) there is no qualifying period or statutory cap on a successful whistleblowing dismissal/detriment claim, and (b) it would require disclosure of the Calderwater revenue-recognition correspondence. On balance we recommend settling on commercially sensible terms, and preserving the restrictive covenants, rather than litigating.</w:t>
      </w:r>
    </w:p>
    <w:p>
      <w:pPr>
        <w:pStyle w:val="Heading2"/>
      </w:pPr>
      <w:r>
        <w:t xml:space="preserve">2.  The constructive dismissal allegation</w:t>
      </w:r>
    </w:p>
    <w:p>
      <w:pPr>
        <w:spacing w:after="120" w:before="0" w:line="264"/>
      </w:pPr>
      <w:r>
        <w:t xml:space="preserve">To succeed Mr Marsden must show a repudiatory breach which he accepted by resigning without affirming the contract. His best point is the unilateral reduction in his reporting lines under the January reorganisation, capable of founding a breach of the implied term of trust and confidence. Against that: his title, board seat, salary and benefits were preserved; clause 3 of his service agreement expressly reserves a power to vary duties; and the change is defensible as a bona fide reorganisation considered since September 2025. The communication failure (the all-staff briefing) is the Company’s weakest point and we have advised it to acknowledge it, which the grievance outcome does.</w:t>
      </w:r>
    </w:p>
    <w:p>
      <w:pPr>
        <w:pStyle w:val="Heading2"/>
      </w:pPr>
      <w:r>
        <w:t xml:space="preserve">3.  The protected-disclosure allegation</w:t>
      </w:r>
    </w:p>
    <w:p>
      <w:pPr>
        <w:spacing w:after="120" w:before="0" w:line="264"/>
      </w:pPr>
      <w:r>
        <w:t xml:space="preserve">Mr Marsden’s November 2025 email about Calderwater revenue recognition is capable of being a qualifying disclosure if he held a reasonable belief that it tended to show a breach of a legal obligation. The causation case is weak: the reorganisation pre-dated the disclosure and the auditors confirmed the accounting treatment. Nevertheless this limb is the principal source of litigation risk, both because of the uncapped exposure and because it would put the auditors’ file and board papers in play. This is the single largest driver of our recommendation to settle.</w:t>
      </w:r>
    </w:p>
    <w:p>
      <w:pPr>
        <w:pStyle w:val="Heading2"/>
      </w:pPr>
      <w:r>
        <w:t xml:space="preserve">4.  Restrictive covenants and garden leave</w:t>
      </w:r>
    </w:p>
    <w:p>
      <w:pPr>
        <w:spacing w:after="120" w:before="0" w:line="264"/>
      </w:pPr>
      <w:r>
        <w:t xml:space="preserve">Clause 18 of the service agreement contains 12-month non-compete, non-solicitation and non-dealing covenants. The non-solicitation and non-dealing covenants are, in our view, enforceable: they are limited to customers and prospects with whom Mr Marsden dealt in his final 12 months. The 12-month non-compete is more vulnerable; a court may regard 12 months as longer than necessary for a sales director, and we would expect to be able to defend 6–9 months with more confidence. Mr Marsden is on garden leave from 3 February 2026, and any period of garden leave is likely to be set off against the non-compete. We recommend the settlement reaffirm the covenants and, ideally, recut the non-compete to 9 months running from the termination date to maximise enforceability.</w:t>
      </w:r>
    </w:p>
    <w:p>
      <w:pPr>
        <w:pStyle w:val="Heading2"/>
      </w:pPr>
      <w:r>
        <w:t xml:space="preserve">5.  Settlement parameters</w:t>
      </w:r>
    </w:p>
    <w:p>
      <w:pPr>
        <w:spacing w:after="120" w:before="0" w:line="264"/>
      </w:pPr>
      <w:r>
        <w:t xml:space="preserve">Our recommended negotiating range, against a realistic litigation cost of £45,000–£70,000 plus management time and a worst-case uncapped award, is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26"/>
      </w:tblGrid>
      <w:tr>
        <w:trPr>
          <w:tblHeader/>
        </w:trPr>
        <w:tc>
          <w:tcPr>
            <w:tcW w:type="dxa" w:w="3600"/>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Component</w:t>
            </w:r>
          </w:p>
        </w:tc>
        <w:tc>
          <w:tcPr>
            <w:tcW w:type="dxa" w:w="1800"/>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Opening</w:t>
            </w:r>
          </w:p>
        </w:tc>
        <w:tc>
          <w:tcPr>
            <w:tcW w:type="dxa" w:w="1800"/>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Target</w:t>
            </w:r>
          </w:p>
        </w:tc>
        <w:tc>
          <w:tcPr>
            <w:tcW w:type="dxa" w:w="1826"/>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Walk-away</w:t>
            </w:r>
          </w:p>
        </w:tc>
      </w:tr>
      <w:tr>
        <w:trPr>
          <w:tblHeader w:val="false"/>
        </w:trPr>
        <w:tc>
          <w:tcPr>
            <w:tcW w:type="dxa" w:w="3600"/>
            <w:tcMar>
              <w:top w:type="dxa" w:w="60"/>
              <w:left w:type="dxa" w:w="110"/>
              <w:bottom w:type="dxa" w:w="60"/>
              <w:right w:type="dxa" w:w="110"/>
            </w:tcMar>
            <w:vAlign w:val="center"/>
          </w:tcPr>
          <w:p>
            <w:pPr>
              <w:spacing w:after="0" w:line="252"/>
              <w:jc w:val="left"/>
            </w:pPr>
            <w:r>
              <w:rPr>
                <w:color w:val="000000"/>
                <w:sz w:val="20"/>
                <w:szCs w:val="20"/>
              </w:rPr>
              <w:t xml:space="preserve">Ex gratia compensation</w:t>
            </w:r>
          </w:p>
        </w:tc>
        <w:tc>
          <w:tcPr>
            <w:tcW w:type="dxa" w:w="1800"/>
            <w:tcMar>
              <w:top w:type="dxa" w:w="60"/>
              <w:left w:type="dxa" w:w="110"/>
              <w:bottom w:type="dxa" w:w="60"/>
              <w:right w:type="dxa" w:w="110"/>
            </w:tcMar>
            <w:vAlign w:val="center"/>
          </w:tcPr>
          <w:p>
            <w:pPr>
              <w:spacing w:after="0" w:line="252"/>
              <w:jc w:val="right"/>
            </w:pPr>
            <w:r>
              <w:rPr>
                <w:color w:val="000000"/>
                <w:sz w:val="20"/>
                <w:szCs w:val="20"/>
              </w:rPr>
              <w:t xml:space="preserve">£75,000</w:t>
            </w:r>
          </w:p>
        </w:tc>
        <w:tc>
          <w:tcPr>
            <w:tcW w:type="dxa" w:w="1800"/>
            <w:tcMar>
              <w:top w:type="dxa" w:w="60"/>
              <w:left w:type="dxa" w:w="110"/>
              <w:bottom w:type="dxa" w:w="60"/>
              <w:right w:type="dxa" w:w="110"/>
            </w:tcMar>
            <w:vAlign w:val="center"/>
          </w:tcPr>
          <w:p>
            <w:pPr>
              <w:spacing w:after="0" w:line="252"/>
              <w:jc w:val="right"/>
            </w:pPr>
            <w:r>
              <w:rPr>
                <w:color w:val="000000"/>
                <w:sz w:val="20"/>
                <w:szCs w:val="20"/>
              </w:rPr>
              <w:t xml:space="preserve">£95,000</w:t>
            </w:r>
          </w:p>
        </w:tc>
        <w:tc>
          <w:tcPr>
            <w:tcW w:type="dxa" w:w="1826"/>
            <w:tcMar>
              <w:top w:type="dxa" w:w="60"/>
              <w:left w:type="dxa" w:w="110"/>
              <w:bottom w:type="dxa" w:w="60"/>
              <w:right w:type="dxa" w:w="110"/>
            </w:tcMar>
            <w:vAlign w:val="center"/>
          </w:tcPr>
          <w:p>
            <w:pPr>
              <w:spacing w:after="0" w:line="252"/>
              <w:jc w:val="right"/>
            </w:pPr>
            <w:r>
              <w:rPr>
                <w:color w:val="000000"/>
                <w:sz w:val="20"/>
                <w:szCs w:val="20"/>
              </w:rPr>
              <w:t xml:space="preserve">£115,000</w:t>
            </w:r>
          </w:p>
        </w:tc>
      </w:tr>
      <w:tr>
        <w:trPr>
          <w:tblHeader w:val="false"/>
        </w:trPr>
        <w:tc>
          <w:tcPr>
            <w:tcW w:type="dxa" w:w="3600"/>
            <w:tcMar>
              <w:top w:type="dxa" w:w="60"/>
              <w:left w:type="dxa" w:w="110"/>
              <w:bottom w:type="dxa" w:w="60"/>
              <w:right w:type="dxa" w:w="110"/>
            </w:tcMar>
            <w:vAlign w:val="center"/>
          </w:tcPr>
          <w:p>
            <w:pPr>
              <w:spacing w:after="0" w:line="252"/>
              <w:jc w:val="left"/>
            </w:pPr>
            <w:r>
              <w:rPr>
                <w:color w:val="000000"/>
                <w:sz w:val="20"/>
                <w:szCs w:val="20"/>
              </w:rPr>
              <w:t xml:space="preserve">Pro-rated FY25 bonus</w:t>
            </w:r>
          </w:p>
        </w:tc>
        <w:tc>
          <w:tcPr>
            <w:tcW w:type="dxa" w:w="1800"/>
            <w:tcMar>
              <w:top w:type="dxa" w:w="60"/>
              <w:left w:type="dxa" w:w="110"/>
              <w:bottom w:type="dxa" w:w="60"/>
              <w:right w:type="dxa" w:w="110"/>
            </w:tcMar>
            <w:vAlign w:val="center"/>
          </w:tcPr>
          <w:p>
            <w:pPr>
              <w:spacing w:after="0" w:line="252"/>
              <w:jc w:val="right"/>
            </w:pPr>
            <w:r>
              <w:rPr>
                <w:color w:val="000000"/>
                <w:sz w:val="20"/>
                <w:szCs w:val="20"/>
              </w:rPr>
              <w:t xml:space="preserve">£24,850</w:t>
            </w:r>
          </w:p>
        </w:tc>
        <w:tc>
          <w:tcPr>
            <w:tcW w:type="dxa" w:w="1800"/>
            <w:tcMar>
              <w:top w:type="dxa" w:w="60"/>
              <w:left w:type="dxa" w:w="110"/>
              <w:bottom w:type="dxa" w:w="60"/>
              <w:right w:type="dxa" w:w="110"/>
            </w:tcMar>
            <w:vAlign w:val="center"/>
          </w:tcPr>
          <w:p>
            <w:pPr>
              <w:spacing w:after="0" w:line="252"/>
              <w:jc w:val="right"/>
            </w:pPr>
            <w:r>
              <w:rPr>
                <w:color w:val="000000"/>
                <w:sz w:val="20"/>
                <w:szCs w:val="20"/>
              </w:rPr>
              <w:t xml:space="preserve">£24,850</w:t>
            </w:r>
          </w:p>
        </w:tc>
        <w:tc>
          <w:tcPr>
            <w:tcW w:type="dxa" w:w="1826"/>
            <w:tcMar>
              <w:top w:type="dxa" w:w="60"/>
              <w:left w:type="dxa" w:w="110"/>
              <w:bottom w:type="dxa" w:w="60"/>
              <w:right w:type="dxa" w:w="110"/>
            </w:tcMar>
            <w:vAlign w:val="center"/>
          </w:tcPr>
          <w:p>
            <w:pPr>
              <w:spacing w:after="0" w:line="252"/>
              <w:jc w:val="right"/>
            </w:pPr>
            <w:r>
              <w:rPr>
                <w:color w:val="000000"/>
                <w:sz w:val="20"/>
                <w:szCs w:val="20"/>
              </w:rPr>
              <w:t xml:space="preserve">£24,850</w:t>
            </w:r>
          </w:p>
        </w:tc>
      </w:tr>
      <w:tr>
        <w:trPr>
          <w:tblHeader w:val="false"/>
        </w:trPr>
        <w:tc>
          <w:tcPr>
            <w:tcW w:type="dxa" w:w="3600"/>
            <w:tcMar>
              <w:top w:type="dxa" w:w="60"/>
              <w:left w:type="dxa" w:w="110"/>
              <w:bottom w:type="dxa" w:w="60"/>
              <w:right w:type="dxa" w:w="110"/>
            </w:tcMar>
            <w:vAlign w:val="center"/>
          </w:tcPr>
          <w:p>
            <w:pPr>
              <w:spacing w:after="0" w:line="252"/>
              <w:jc w:val="left"/>
            </w:pPr>
            <w:r>
              <w:rPr>
                <w:color w:val="000000"/>
                <w:sz w:val="20"/>
                <w:szCs w:val="20"/>
              </w:rPr>
              <w:t xml:space="preserve">Legal-fee contribution (+VAT)</w:t>
            </w:r>
          </w:p>
        </w:tc>
        <w:tc>
          <w:tcPr>
            <w:tcW w:type="dxa" w:w="1800"/>
            <w:tcMar>
              <w:top w:type="dxa" w:w="60"/>
              <w:left w:type="dxa" w:w="110"/>
              <w:bottom w:type="dxa" w:w="60"/>
              <w:right w:type="dxa" w:w="110"/>
            </w:tcMar>
            <w:vAlign w:val="center"/>
          </w:tcPr>
          <w:p>
            <w:pPr>
              <w:spacing w:after="0" w:line="252"/>
              <w:jc w:val="right"/>
            </w:pPr>
            <w:r>
              <w:rPr>
                <w:color w:val="000000"/>
                <w:sz w:val="20"/>
                <w:szCs w:val="20"/>
              </w:rPr>
              <w:t xml:space="preserve">£1,000</w:t>
            </w:r>
          </w:p>
        </w:tc>
        <w:tc>
          <w:tcPr>
            <w:tcW w:type="dxa" w:w="1800"/>
            <w:tcMar>
              <w:top w:type="dxa" w:w="60"/>
              <w:left w:type="dxa" w:w="110"/>
              <w:bottom w:type="dxa" w:w="60"/>
              <w:right w:type="dxa" w:w="110"/>
            </w:tcMar>
            <w:vAlign w:val="center"/>
          </w:tcPr>
          <w:p>
            <w:pPr>
              <w:spacing w:after="0" w:line="252"/>
              <w:jc w:val="right"/>
            </w:pPr>
            <w:r>
              <w:rPr>
                <w:color w:val="000000"/>
                <w:sz w:val="20"/>
                <w:szCs w:val="20"/>
              </w:rPr>
              <w:t xml:space="preserve">£1,500</w:t>
            </w:r>
          </w:p>
        </w:tc>
        <w:tc>
          <w:tcPr>
            <w:tcW w:type="dxa" w:w="1826"/>
            <w:tcMar>
              <w:top w:type="dxa" w:w="60"/>
              <w:left w:type="dxa" w:w="110"/>
              <w:bottom w:type="dxa" w:w="60"/>
              <w:right w:type="dxa" w:w="110"/>
            </w:tcMar>
            <w:vAlign w:val="center"/>
          </w:tcPr>
          <w:p>
            <w:pPr>
              <w:spacing w:after="0" w:line="252"/>
              <w:jc w:val="right"/>
            </w:pPr>
            <w:r>
              <w:rPr>
                <w:color w:val="000000"/>
                <w:sz w:val="20"/>
                <w:szCs w:val="20"/>
              </w:rPr>
              <w:t xml:space="preserve">£2,500</w:t>
            </w:r>
          </w:p>
        </w:tc>
      </w:tr>
      <w:tr>
        <w:trPr>
          <w:tblHeader w:val="false"/>
        </w:trPr>
        <w:tc>
          <w:tcPr>
            <w:tcW w:type="dxa" w:w="3600"/>
            <w:tcMar>
              <w:top w:type="dxa" w:w="60"/>
              <w:left w:type="dxa" w:w="110"/>
              <w:bottom w:type="dxa" w:w="60"/>
              <w:right w:type="dxa" w:w="110"/>
            </w:tcMar>
            <w:vAlign w:val="center"/>
          </w:tcPr>
          <w:p>
            <w:pPr>
              <w:spacing w:after="0" w:line="252"/>
              <w:jc w:val="left"/>
            </w:pPr>
            <w:r>
              <w:rPr>
                <w:color w:val="000000"/>
                <w:sz w:val="20"/>
                <w:szCs w:val="20"/>
              </w:rPr>
              <w:t xml:space="preserve">Outplacement</w:t>
            </w:r>
          </w:p>
        </w:tc>
        <w:tc>
          <w:tcPr>
            <w:tcW w:type="dxa" w:w="1800"/>
            <w:tcMar>
              <w:top w:type="dxa" w:w="60"/>
              <w:left w:type="dxa" w:w="110"/>
              <w:bottom w:type="dxa" w:w="60"/>
              <w:right w:type="dxa" w:w="110"/>
            </w:tcMar>
            <w:vAlign w:val="center"/>
          </w:tcPr>
          <w:p>
            <w:pPr>
              <w:spacing w:after="0" w:line="252"/>
              <w:jc w:val="right"/>
            </w:pPr>
            <w:r>
              <w:rPr>
                <w:color w:val="000000"/>
                <w:sz w:val="20"/>
                <w:szCs w:val="20"/>
              </w:rPr>
              <w:t xml:space="preserve">£0</w:t>
            </w:r>
          </w:p>
        </w:tc>
        <w:tc>
          <w:tcPr>
            <w:tcW w:type="dxa" w:w="1800"/>
            <w:tcMar>
              <w:top w:type="dxa" w:w="60"/>
              <w:left w:type="dxa" w:w="110"/>
              <w:bottom w:type="dxa" w:w="60"/>
              <w:right w:type="dxa" w:w="110"/>
            </w:tcMar>
            <w:vAlign w:val="center"/>
          </w:tcPr>
          <w:p>
            <w:pPr>
              <w:spacing w:after="0" w:line="252"/>
              <w:jc w:val="right"/>
            </w:pPr>
            <w:r>
              <w:rPr>
                <w:color w:val="000000"/>
                <w:sz w:val="20"/>
                <w:szCs w:val="20"/>
              </w:rPr>
              <w:t xml:space="preserve">£5,000</w:t>
            </w:r>
          </w:p>
        </w:tc>
        <w:tc>
          <w:tcPr>
            <w:tcW w:type="dxa" w:w="1826"/>
            <w:tcMar>
              <w:top w:type="dxa" w:w="60"/>
              <w:left w:type="dxa" w:w="110"/>
              <w:bottom w:type="dxa" w:w="60"/>
              <w:right w:type="dxa" w:w="110"/>
            </w:tcMar>
            <w:vAlign w:val="center"/>
          </w:tcPr>
          <w:p>
            <w:pPr>
              <w:spacing w:after="0" w:line="252"/>
              <w:jc w:val="right"/>
            </w:pPr>
            <w:r>
              <w:rPr>
                <w:color w:val="000000"/>
                <w:sz w:val="20"/>
                <w:szCs w:val="20"/>
              </w:rPr>
              <w:t xml:space="preserve">£7,500</w:t>
            </w:r>
          </w:p>
        </w:tc>
      </w:tr>
    </w:tbl>
    <w:p>
      <w:pPr>
        <w:spacing w:after="120" w:before="120" w:line="264"/>
      </w:pPr>
      <w:r>
        <w:t xml:space="preserve">We would advise authority to settle the ex gratia element up to a ceiling of </w:t>
      </w:r>
      <w:r>
        <w:rPr>
          <w:b/>
          <w:bCs/>
        </w:rPr>
        <w:t xml:space="preserve">£115,000</w:t>
      </w:r>
      <w:r>
        <w:t xml:space="preserve"> all-in. Above that, litigation becomes the better commercial option, subject to the whistleblowing-risk discount discussed above.</w:t>
      </w:r>
    </w:p>
    <w:p>
      <w:pPr>
        <w:pStyle w:val="Heading2"/>
      </w:pPr>
      <w:r>
        <w:t xml:space="preserve">6.  Tax treatment</w:t>
      </w:r>
    </w:p>
    <w:p>
      <w:pPr>
        <w:spacing w:after="120" w:before="0" w:line="264"/>
      </w:pPr>
      <w:r>
        <w:t xml:space="preserve">The first £30,000 of the ex gratia termination payment can be paid free of tax and National Insurance under sections 401–403 ITEPA 2003, provided it is genuinely compensation for loss of office and not a contractual entitlement. The balance above £30,000 is taxable and subject to employer’s Class 1A NIC. The bonus and accrued holiday are earnings and are fully taxable through payroll. There is no PILON because Mr Marsden works his notice on garden leave. The agreement should contain a standard tax indemnity from Mr Marsden in the Company’s favour.</w:t>
      </w:r>
    </w:p>
    <w:p>
      <w:pPr>
        <w:pStyle w:val="Heading2"/>
      </w:pPr>
      <w:r>
        <w:t xml:space="preserve">7.  Recommendation</w:t>
      </w:r>
    </w:p>
    <w:p>
      <w:pPr>
        <w:spacing w:after="120" w:before="0" w:line="264"/>
      </w:pPr>
      <w:r>
        <w:t xml:space="preserve">We recommend (a) opening the without-prejudice dialogue at the figures in the “Opening” column; (b) settling at or around the “Target” column; (c) insisting on reaffirmation of the covenants with the non-compete recut to 9 months; and (d) documenting the deal in a settlement agreement with an adviser’s certificate, tax indemnity and agreed reference. We will prepare a draft agreement on receipt of your instructions.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0" w:before="60"/>
      <w:jc w:val="center"/>
    </w:pPr>
    <w:r>
      <w:rPr>
        <w:color w:val="808080"/>
        <w:sz w:val="13"/>
        <w:szCs w:val="13"/>
      </w:rPr>
      <w:t xml:space="preserve">Whitfield Carter LLP is a limited liability partnership registered in England and Wales (registered number OC418532). A list of members is available at the registered office. Authorised and regulated by the Solicitors Regulation Authority.</w:t>
    </w:r>
  </w:p>
  <w:p>
    <w:pPr>
      <w:spacing w:after="0"/>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1F3864"/>
        <w:sz w:val="16"/>
        <w:szCs w:val="16"/>
      </w:rPr>
      <w:t xml:space="preserve">Solicitors</w:t>
    </w:r>
  </w:p>
  <w:p>
    <w:pPr>
      <w:pBdr>
        <w:bottom w:val="single" w:color="1F3864" w:sz="6" w:space="4"/>
      </w:pBdr>
      <w:spacing w:after="60"/>
      <w:jc w:val="right"/>
    </w:pPr>
    <w:r>
      <w:rPr>
        <w:color w:val="595959"/>
        <w:sz w:val="14"/>
        <w:szCs w:val="14"/>
      </w:rPr>
      <w:t xml:space="preserve">22 Bishopsgate, London EC2N 4BQ  ·  +44 (0)20 7946 0100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2026-06-29T11:16:55.967Z</dcterms:created>
  <dcterms:modified xsi:type="dcterms:W3CDTF">2026-06-29T11:16:55.967Z</dcterms:modified>
</cp:coreProperties>
</file>

<file path=docProps/custom.xml><?xml version="1.0" encoding="utf-8"?>
<Properties xmlns="http://schemas.openxmlformats.org/officeDocument/2006/custom-properties" xmlns:vt="http://schemas.openxmlformats.org/officeDocument/2006/docPropsVTypes"/>
</file>