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4"/>
      </w:pPr>
      <w:r>
        <w:rPr>
          <w:b/>
          <w:bCs/>
        </w:rPr>
        <w:t xml:space="preserve">STRICTLY PRIVATE &amp; CONFIDENTIAL</w:t>
      </w:r>
    </w:p>
    <w:p>
      <w:pPr>
        <w:spacing w:after="0" w:before="0" w:line="264"/>
      </w:pPr>
      <w:r>
        <w:t xml:space="preserve">Gavin Harrow</w:t>
      </w:r>
    </w:p>
    <w:p>
      <w:pPr>
        <w:spacing w:after="0" w:before="0" w:line="264"/>
      </w:pPr>
      <w:r>
        <w:t xml:space="preserve">Managing Director</w:t>
      </w:r>
    </w:p>
    <w:p>
      <w:pPr>
        <w:spacing w:after="0" w:before="0" w:line="264"/>
      </w:pPr>
      <w:r>
        <w:t xml:space="preserve">Harrow Precision Engineering Limited</w:t>
      </w:r>
    </w:p>
    <w:p>
      <w:pPr>
        <w:spacing w:after="200" w:before="0" w:line="264"/>
      </w:pPr>
      <w:r>
        <w:t xml:space="preserve">Brookfield Works, Carlton Road, Sheffield S4 7QQ</w:t>
      </w:r>
    </w:p>
    <w:p>
      <w:pPr>
        <w:spacing w:after="200"/>
        <w:jc w:val="right"/>
      </w:pPr>
      <w:r>
        <w:t xml:space="preserve">12 February 2026</w:t>
      </w:r>
    </w:p>
    <w:p>
      <w:pPr>
        <w:spacing w:after="200" w:before="0" w:line="264"/>
      </w:pPr>
      <w:r>
        <w:rPr>
          <w:b/>
          <w:bCs/>
        </w:rPr>
        <w:t xml:space="preserve">Our ref: </w:t>
      </w:r>
      <w:r>
        <w:t xml:space="preserve">SW/WC-00170/Marsden</w:t>
      </w:r>
    </w:p>
    <w:p>
      <w:pPr>
        <w:spacing w:after="160" w:before="0" w:line="264"/>
      </w:pPr>
      <w:r>
        <w:t xml:space="preserve">Dear Gavin,</w:t>
      </w:r>
    </w:p>
    <w:p>
      <w:pPr>
        <w:spacing w:after="160" w:before="0" w:line="264"/>
      </w:pPr>
      <w:r>
        <w:rPr>
          <w:b/>
          <w:bCs/>
        </w:rPr>
        <w:t xml:space="preserve">Engagement: proposed exit of Mr Philip Marsden (Sales &amp; Commercial Director)</w:t>
      </w:r>
    </w:p>
    <w:p>
      <w:pPr>
        <w:spacing w:after="120" w:before="0" w:line="264"/>
      </w:pPr>
      <w:r>
        <w:t xml:space="preserve">Thank you for instructing Whitfield Carter LLP in connection with the proposed termination of the employment of Mr Philip Marsden, your Sales &amp; Commercial Director, and the grievance he has raised dated 29 January 2026. This letter, together with our enclosed standard terms of business, sets out the basis on which we will act for the Company.</w:t>
      </w:r>
    </w:p>
    <w:p>
      <w:pPr>
        <w:pStyle w:val="Heading2"/>
      </w:pPr>
      <w:r>
        <w:t xml:space="preserve">1.  Scope of our work</w:t>
      </w:r>
    </w:p>
    <w:p>
      <w:pPr>
        <w:spacing w:after="120" w:before="0" w:line="264"/>
      </w:pPr>
      <w:r>
        <w:t xml:space="preserve">Our instructions are to advise the Company on: (a) the merits of, and the Company's response to, Mr Marsden's grievance, which alleges constructive dismissal and detriment for making protected disclosures; (b) the negotiation and documentation of a settlement agreement to achieve a clean break; (c) the enforceability of the post-termination restrictive covenants in Mr Marsden's service agreement dated 8 February 2016 and his current period of garden leave; and (d) the form of any agreed reference. We will not advise on tax beyond the standard treatment of termination payments, and recommend the Company take separate advice from its accountants on any point of doubt.</w:t>
      </w:r>
    </w:p>
    <w:p>
      <w:pPr>
        <w:pStyle w:val="Heading2"/>
      </w:pPr>
      <w:r>
        <w:t xml:space="preserve">2.  Our team</w:t>
      </w:r>
    </w:p>
    <w:p>
      <w:pPr>
        <w:spacing w:after="120" w:before="0" w:line="264"/>
      </w:pPr>
      <w:r>
        <w:t xml:space="preserve">The matter will be led by Sarah Whitfield (Partner), supported by Tom Gallagher (Associate). Sarah Whitfield will be your principal point of contact. We may involve other members of the firm where it is cost-effective to do so.</w:t>
      </w:r>
    </w:p>
    <w:p>
      <w:pPr>
        <w:pStyle w:val="Heading2"/>
      </w:pPr>
      <w:r>
        <w:t xml:space="preserve">3.  Fees and estimate</w:t>
      </w:r>
    </w:p>
    <w:p>
      <w:pPr>
        <w:spacing w:after="120" w:before="0" w:line="264"/>
      </w:pPr>
      <w:r>
        <w:t xml:space="preserve">Our fees are charged by reference to time spent. The current hourly rates (exclusive of VAT) for those likely to work on this matter are: Partner £620; Associate £360; Trainee £190. Based on the information presently available, we estimate our fees for advising on and concluding a negotiated settlement (assuming the matter does not proceed to litigation) at between £14,000 and £20,000 plus VAT and disbursements. We will notify you promptly if it appears the estimate will be exceeded.</w:t>
      </w:r>
    </w:p>
    <w:p>
      <w:pPr>
        <w:spacing w:after="120" w:before="0" w:line="264"/>
      </w:pPr>
      <w:r>
        <w:t xml:space="preserve">As is standard in settlement agreements, the Company will be asked to make a contribution towards Mr Marsden's own legal fees of advising him on the terms and effect of the agreement; that contribution is separate from our fees and is typically in the region of £1,000 to £1,750 plus VAT.</w:t>
      </w:r>
    </w:p>
    <w:p>
      <w:pPr>
        <w:pStyle w:val="Heading2"/>
      </w:pPr>
      <w:r>
        <w:t xml:space="preserve">4.  Privilege and confidentiality</w:t>
      </w:r>
    </w:p>
    <w:p>
      <w:pPr>
        <w:spacing w:after="120" w:before="0" w:line="264"/>
      </w:pPr>
      <w:r>
        <w:t xml:space="preserve">Our advice is provided to the Company alone and is subject to legal professional privilege. Correspondence marked “without prejudice” or “without prejudice and subject to contract”, and discussions conducted on that basis or as a protected conversation under section 111A of the Employment Rights Act 1996, may not generally be referred to in tribunal proceedings. We will mark correspondence accordingly.</w:t>
      </w:r>
    </w:p>
    <w:p>
      <w:pPr>
        <w:pStyle w:val="Heading2"/>
      </w:pPr>
      <w:r>
        <w:t xml:space="preserve">5.  Money laundering and identity</w:t>
      </w:r>
    </w:p>
    <w:p>
      <w:pPr>
        <w:spacing w:after="120" w:before="0" w:line="264"/>
      </w:pPr>
      <w:r>
        <w:t xml:space="preserve">We are required to verify the identity of our clients. As the Company is an existing client of the firm, our records are current and no further verification is required at this stage.</w:t>
      </w:r>
    </w:p>
    <w:p>
      <w:pPr>
        <w:pStyle w:val="Heading2"/>
      </w:pPr>
      <w:r>
        <w:t xml:space="preserve">6.  Acceptance</w:t>
      </w:r>
    </w:p>
    <w:p>
      <w:pPr>
        <w:spacing w:after="120" w:before="0" w:line="264"/>
      </w:pPr>
      <w:r>
        <w:t xml:space="preserve">Please confirm your acceptance of this engagement and the enclosed terms of business by signing and returning the enclosed copy of this letter. We are grateful for the opportunity to assist and look forward to working with you on this matter.</w:t>
      </w:r>
    </w:p>
    <w:p>
      <w:pPr>
        <w:spacing w:after="360" w:before="120" w:line="264"/>
      </w:pPr>
      <w:r>
        <w:t xml:space="preserve">Yours sincerely,</w:t>
      </w:r>
    </w:p>
    <w:p>
      <w:pPr>
        <w:spacing w:after="0" w:before="0" w:line="264"/>
      </w:pPr>
      <w:r>
        <w:rPr>
          <w:b/>
          <w:bCs/>
        </w:rPr>
        <w:t xml:space="preserve">Sarah Whitfield</w:t>
      </w:r>
    </w:p>
    <w:p>
      <w:pPr>
        <w:spacing w:after="40" w:before="0" w:line="264"/>
      </w:pPr>
      <w:r>
        <w:t xml:space="preserve">Partner</w:t>
      </w:r>
    </w:p>
    <w:p>
      <w:pPr>
        <w:spacing w:after="200" w:before="0" w:line="264"/>
      </w:pPr>
      <w:r>
        <w:t xml:space="preserve">For and on behalf of Whitfield Carter LLP</w:t>
      </w:r>
    </w:p>
    <w:p>
      <w:pPr>
        <w:spacing w:after="0" w:before="0" w:line="264"/>
      </w:pPr>
      <w:r>
        <w:rPr>
          <w:b/>
          <w:bCs/>
        </w:rPr>
        <w:t xml:space="preserve">Enc: </w:t>
      </w:r>
      <w:r>
        <w:t xml:space="preserve">Standard Terms of Business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before="60"/>
      <w:jc w:val="center"/>
    </w:pPr>
    <w:r>
      <w:rPr>
        <w:color w:val="808080"/>
        <w:sz w:val="13"/>
        <w:szCs w:val="13"/>
      </w:rPr>
      <w:t xml:space="preserve">Whitfield Carter LLP is a limited liability partnership registered in England and Wales (registered number OC418532). A list of members is available at the registered office. Authorised and regulated by the Solicitors Regulation Authority.</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1F3864"/>
        <w:sz w:val="16"/>
        <w:szCs w:val="16"/>
      </w:rPr>
      <w:t xml:space="preserve">Solicitors</w:t>
    </w:r>
  </w:p>
  <w:p>
    <w:pPr>
      <w:pBdr>
        <w:bottom w:val="single" w:color="1F3864" w:sz="6" w:space="4"/>
      </w:pBdr>
      <w:spacing w:after="60"/>
      <w:jc w:val="right"/>
    </w:pPr>
    <w:r>
      <w:rPr>
        <w:color w:val="595959"/>
        <w:sz w:val="14"/>
        <w:szCs w:val="14"/>
      </w:rPr>
      <w:t xml:space="preserve">22 Bishopsgate, London EC2N 4BQ  ·  +44 (0)20 7946 0100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2026-06-29T11:16:55.852Z</dcterms:created>
  <dcterms:modified xsi:type="dcterms:W3CDTF">2026-06-29T11:16:55.852Z</dcterms:modified>
</cp:coreProperties>
</file>

<file path=docProps/custom.xml><?xml version="1.0" encoding="utf-8"?>
<Properties xmlns="http://schemas.openxmlformats.org/officeDocument/2006/custom-properties" xmlns:vt="http://schemas.openxmlformats.org/officeDocument/2006/docPropsVTypes"/>
</file>