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line="264"/>
      </w:pPr>
      <w:r>
        <w:rPr>
          <w:b/>
          <w:bCs/>
        </w:rPr>
        <w:t xml:space="preserve">WITHOUT PREJUDICE AND SUBJECT TO CONTRACT</w:t>
      </w:r>
    </w:p>
    <w:p>
      <w:pPr>
        <w:spacing w:after="200" w:before="0" w:line="264"/>
      </w:pPr>
      <w:r>
        <w:rPr>
          <w:i/>
          <w:iCs/>
        </w:rPr>
        <w:t xml:space="preserve">Section 111A Employment Rights Act 1996 – protected conversation</w:t>
      </w:r>
    </w:p>
    <w:p>
      <w:pPr>
        <w:spacing w:after="0" w:before="0" w:line="264"/>
      </w:pPr>
      <w:r>
        <w:t xml:space="preserve">Alistair Whitlock</w:t>
      </w:r>
    </w:p>
    <w:p>
      <w:pPr>
        <w:spacing w:after="0" w:before="0" w:line="264"/>
      </w:pPr>
      <w:r>
        <w:t xml:space="preserve">Partner</w:t>
      </w:r>
    </w:p>
    <w:p>
      <w:pPr>
        <w:spacing w:after="0" w:before="0" w:line="264"/>
      </w:pPr>
      <w:r>
        <w:t xml:space="preserve">Pemberton Rowe LLP</w:t>
      </w:r>
    </w:p>
    <w:p>
      <w:pPr>
        <w:spacing w:after="200" w:before="0" w:line="264"/>
      </w:pPr>
      <w:r>
        <w:t xml:space="preserve">5 Temple Row, Birmingham B2 5LG</w:t>
      </w:r>
    </w:p>
    <w:p>
      <w:pPr>
        <w:spacing w:after="200"/>
        <w:jc w:val="right"/>
      </w:pPr>
      <w:r>
        <w:t xml:space="preserve">16 February 2026</w:t>
      </w:r>
    </w:p>
    <w:p>
      <w:pPr>
        <w:spacing w:after="200" w:before="0" w:line="264"/>
      </w:pPr>
      <w:r>
        <w:rPr>
          <w:b/>
          <w:bCs/>
        </w:rPr>
        <w:t xml:space="preserve">Our ref: </w:t>
      </w:r>
      <w:r>
        <w:t xml:space="preserve">SW/WC-00170/Marsden</w:t>
      </w:r>
    </w:p>
    <w:p>
      <w:pPr>
        <w:spacing w:after="160" w:before="0" w:line="264"/>
      </w:pPr>
      <w:r>
        <w:t xml:space="preserve">Dear Mr Whitlock,</w:t>
      </w:r>
    </w:p>
    <w:p>
      <w:pPr>
        <w:spacing w:after="160" w:before="0" w:line="264"/>
      </w:pPr>
      <w:r>
        <w:rPr>
          <w:b/>
          <w:bCs/>
        </w:rPr>
        <w:t xml:space="preserve">Philip Marsden and Harrow Precision Engineering Limited</w:t>
      </w:r>
    </w:p>
    <w:p>
      <w:pPr>
        <w:spacing w:after="120" w:before="0" w:line="264"/>
      </w:pPr>
      <w:r>
        <w:t xml:space="preserve">We act for Harrow Precision Engineering Limited (the “Company”). We understand from your client that you are instructed to advise him in connection with the termination of his employment. This letter is written on a without-prejudice basis and as part of a protected conversation under section 111A of the Employment Rights Act 1996. It is not to be referred to in any tribunal proceedings.</w:t>
      </w:r>
    </w:p>
    <w:p>
      <w:pPr>
        <w:spacing w:after="120" w:before="0" w:line="264"/>
      </w:pPr>
      <w:r>
        <w:t xml:space="preserve">Without any admission of liability, and in the interest of achieving a clean and dignified separation, the Company is willing to offer your client the following terms in full and final settlement of all claims arising from his employment and its termination: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
        <w:gridCol w:w="5006"/>
        <w:gridCol w:w="3500"/>
      </w:tblGrid>
      <w:tr>
        <w:trPr>
          <w:tblHeader/>
        </w:trPr>
        <w:tc>
          <w:tcPr>
            <w:tcW w:type="dxa" w:w="520"/>
            <w:shd w:fill="1F3864" w:val="clear"/>
            <w:tcMar>
              <w:top w:type="dxa" w:w="60"/>
              <w:left w:type="dxa" w:w="110"/>
              <w:bottom w:type="dxa" w:w="60"/>
              <w:right w:type="dxa" w:w="110"/>
            </w:tcMar>
            <w:vAlign w:val="center"/>
          </w:tcPr>
          <w:p>
            <w:pPr>
              <w:spacing w:after="0" w:line="252"/>
              <w:jc w:val="left"/>
            </w:pPr>
            <w:r>
              <w:rPr>
                <w:b/>
                <w:bCs/>
                <w:color w:val="FFFFFF"/>
                <w:sz w:val="20"/>
                <w:szCs w:val="20"/>
              </w:rPr>
              <w:t xml:space="preserve"/>
            </w:r>
          </w:p>
        </w:tc>
        <w:tc>
          <w:tcPr>
            <w:tcW w:type="dxa" w:w="5006"/>
            <w:shd w:fill="1F3864" w:val="clear"/>
            <w:tcMar>
              <w:top w:type="dxa" w:w="60"/>
              <w:left w:type="dxa" w:w="110"/>
              <w:bottom w:type="dxa" w:w="60"/>
              <w:right w:type="dxa" w:w="110"/>
            </w:tcMar>
            <w:vAlign w:val="center"/>
          </w:tcPr>
          <w:p>
            <w:pPr>
              <w:spacing w:after="0" w:line="252"/>
              <w:jc w:val="left"/>
            </w:pPr>
            <w:r>
              <w:rPr>
                <w:b/>
                <w:bCs/>
                <w:color w:val="FFFFFF"/>
                <w:sz w:val="20"/>
                <w:szCs w:val="20"/>
              </w:rPr>
              <w:t xml:space="preserve">Term</w:t>
            </w:r>
          </w:p>
        </w:tc>
        <w:tc>
          <w:tcPr>
            <w:tcW w:type="dxa" w:w="3500"/>
            <w:shd w:fill="1F3864" w:val="clear"/>
            <w:tcMar>
              <w:top w:type="dxa" w:w="60"/>
              <w:left w:type="dxa" w:w="110"/>
              <w:bottom w:type="dxa" w:w="60"/>
              <w:right w:type="dxa" w:w="110"/>
            </w:tcMar>
            <w:vAlign w:val="center"/>
          </w:tcPr>
          <w:p>
            <w:pPr>
              <w:spacing w:after="0" w:line="252"/>
              <w:jc w:val="left"/>
            </w:pPr>
            <w:r>
              <w:rPr>
                <w:b/>
                <w:bCs/>
                <w:color w:val="FFFFFF"/>
                <w:sz w:val="20"/>
                <w:szCs w:val="20"/>
              </w:rPr>
              <w:t xml:space="preserve">Amount / detail</w:t>
            </w:r>
          </w:p>
        </w:tc>
      </w:tr>
      <w:tr>
        <w:trPr>
          <w:tblHeader w:val="false"/>
        </w:trPr>
        <w:tc>
          <w:tcPr>
            <w:tcW w:type="dxa" w:w="520"/>
            <w:tcMar>
              <w:top w:type="dxa" w:w="60"/>
              <w:left w:type="dxa" w:w="110"/>
              <w:bottom w:type="dxa" w:w="60"/>
              <w:right w:type="dxa" w:w="110"/>
            </w:tcMar>
            <w:vAlign w:val="center"/>
          </w:tcPr>
          <w:p>
            <w:pPr>
              <w:spacing w:after="0" w:line="252"/>
              <w:jc w:val="left"/>
            </w:pPr>
            <w:r>
              <w:rPr>
                <w:color w:val="000000"/>
                <w:sz w:val="20"/>
                <w:szCs w:val="20"/>
              </w:rPr>
              <w:t xml:space="preserve">1</w:t>
            </w:r>
          </w:p>
        </w:tc>
        <w:tc>
          <w:tcPr>
            <w:tcW w:type="dxa" w:w="5006"/>
            <w:tcMar>
              <w:top w:type="dxa" w:w="60"/>
              <w:left w:type="dxa" w:w="110"/>
              <w:bottom w:type="dxa" w:w="60"/>
              <w:right w:type="dxa" w:w="110"/>
            </w:tcMar>
            <w:vAlign w:val="center"/>
          </w:tcPr>
          <w:p>
            <w:pPr>
              <w:spacing w:after="0" w:line="252"/>
              <w:jc w:val="left"/>
            </w:pPr>
            <w:r>
              <w:rPr>
                <w:color w:val="000000"/>
                <w:sz w:val="20"/>
                <w:szCs w:val="20"/>
              </w:rPr>
              <w:t xml:space="preserve">Termination date</w:t>
            </w:r>
          </w:p>
        </w:tc>
        <w:tc>
          <w:tcPr>
            <w:tcW w:type="dxa" w:w="3500"/>
            <w:tcMar>
              <w:top w:type="dxa" w:w="60"/>
              <w:left w:type="dxa" w:w="110"/>
              <w:bottom w:type="dxa" w:w="60"/>
              <w:right w:type="dxa" w:w="110"/>
            </w:tcMar>
            <w:vAlign w:val="center"/>
          </w:tcPr>
          <w:p>
            <w:pPr>
              <w:spacing w:after="0" w:line="252"/>
              <w:jc w:val="left"/>
            </w:pPr>
            <w:r>
              <w:rPr>
                <w:color w:val="000000"/>
                <w:sz w:val="20"/>
                <w:szCs w:val="20"/>
              </w:rPr>
              <w:t xml:space="preserve">31 March 2026</w:t>
            </w:r>
          </w:p>
        </w:tc>
      </w:tr>
      <w:tr>
        <w:trPr>
          <w:tblHeader w:val="false"/>
        </w:trPr>
        <w:tc>
          <w:tcPr>
            <w:tcW w:type="dxa" w:w="520"/>
            <w:tcMar>
              <w:top w:type="dxa" w:w="60"/>
              <w:left w:type="dxa" w:w="110"/>
              <w:bottom w:type="dxa" w:w="60"/>
              <w:right w:type="dxa" w:w="110"/>
            </w:tcMar>
            <w:vAlign w:val="center"/>
          </w:tcPr>
          <w:p>
            <w:pPr>
              <w:spacing w:after="0" w:line="252"/>
              <w:jc w:val="left"/>
            </w:pPr>
            <w:r>
              <w:rPr>
                <w:color w:val="000000"/>
                <w:sz w:val="20"/>
                <w:szCs w:val="20"/>
              </w:rPr>
              <w:t xml:space="preserve">2</w:t>
            </w:r>
          </w:p>
        </w:tc>
        <w:tc>
          <w:tcPr>
            <w:tcW w:type="dxa" w:w="5006"/>
            <w:tcMar>
              <w:top w:type="dxa" w:w="60"/>
              <w:left w:type="dxa" w:w="110"/>
              <w:bottom w:type="dxa" w:w="60"/>
              <w:right w:type="dxa" w:w="110"/>
            </w:tcMar>
            <w:vAlign w:val="center"/>
          </w:tcPr>
          <w:p>
            <w:pPr>
              <w:spacing w:after="0" w:line="252"/>
              <w:jc w:val="left"/>
            </w:pPr>
            <w:r>
              <w:rPr>
                <w:color w:val="000000"/>
                <w:sz w:val="20"/>
                <w:szCs w:val="20"/>
              </w:rPr>
              <w:t xml:space="preserve">Ex gratia compensation payment (first £30,000 tax free)</w:t>
            </w:r>
          </w:p>
        </w:tc>
        <w:tc>
          <w:tcPr>
            <w:tcW w:type="dxa" w:w="3500"/>
            <w:tcMar>
              <w:top w:type="dxa" w:w="60"/>
              <w:left w:type="dxa" w:w="110"/>
              <w:bottom w:type="dxa" w:w="60"/>
              <w:right w:type="dxa" w:w="110"/>
            </w:tcMar>
            <w:vAlign w:val="center"/>
          </w:tcPr>
          <w:p>
            <w:pPr>
              <w:spacing w:after="0" w:line="252"/>
              <w:jc w:val="left"/>
            </w:pPr>
            <w:r>
              <w:rPr>
                <w:color w:val="000000"/>
                <w:sz w:val="20"/>
                <w:szCs w:val="20"/>
              </w:rPr>
              <w:t xml:space="preserve">£95,000</w:t>
            </w:r>
          </w:p>
        </w:tc>
      </w:tr>
      <w:tr>
        <w:trPr>
          <w:tblHeader w:val="false"/>
        </w:trPr>
        <w:tc>
          <w:tcPr>
            <w:tcW w:type="dxa" w:w="520"/>
            <w:tcMar>
              <w:top w:type="dxa" w:w="60"/>
              <w:left w:type="dxa" w:w="110"/>
              <w:bottom w:type="dxa" w:w="60"/>
              <w:right w:type="dxa" w:w="110"/>
            </w:tcMar>
            <w:vAlign w:val="center"/>
          </w:tcPr>
          <w:p>
            <w:pPr>
              <w:spacing w:after="0" w:line="252"/>
              <w:jc w:val="left"/>
            </w:pPr>
            <w:r>
              <w:rPr>
                <w:color w:val="000000"/>
                <w:sz w:val="20"/>
                <w:szCs w:val="20"/>
              </w:rPr>
              <w:t xml:space="preserve">3</w:t>
            </w:r>
          </w:p>
        </w:tc>
        <w:tc>
          <w:tcPr>
            <w:tcW w:type="dxa" w:w="5006"/>
            <w:tcMar>
              <w:top w:type="dxa" w:w="60"/>
              <w:left w:type="dxa" w:w="110"/>
              <w:bottom w:type="dxa" w:w="60"/>
              <w:right w:type="dxa" w:w="110"/>
            </w:tcMar>
            <w:vAlign w:val="center"/>
          </w:tcPr>
          <w:p>
            <w:pPr>
              <w:spacing w:after="0" w:line="252"/>
              <w:jc w:val="left"/>
            </w:pPr>
            <w:r>
              <w:rPr>
                <w:color w:val="000000"/>
                <w:sz w:val="20"/>
                <w:szCs w:val="20"/>
              </w:rPr>
              <w:t xml:space="preserve">Pro-rated discretionary bonus for FY ended 30 September 2025 (taxable)</w:t>
            </w:r>
          </w:p>
        </w:tc>
        <w:tc>
          <w:tcPr>
            <w:tcW w:type="dxa" w:w="3500"/>
            <w:tcMar>
              <w:top w:type="dxa" w:w="60"/>
              <w:left w:type="dxa" w:w="110"/>
              <w:bottom w:type="dxa" w:w="60"/>
              <w:right w:type="dxa" w:w="110"/>
            </w:tcMar>
            <w:vAlign w:val="center"/>
          </w:tcPr>
          <w:p>
            <w:pPr>
              <w:spacing w:after="0" w:line="252"/>
              <w:jc w:val="left"/>
            </w:pPr>
            <w:r>
              <w:rPr>
                <w:color w:val="000000"/>
                <w:sz w:val="20"/>
                <w:szCs w:val="20"/>
              </w:rPr>
              <w:t xml:space="preserve">£24,850</w:t>
            </w:r>
          </w:p>
        </w:tc>
      </w:tr>
      <w:tr>
        <w:trPr>
          <w:tblHeader w:val="false"/>
        </w:trPr>
        <w:tc>
          <w:tcPr>
            <w:tcW w:type="dxa" w:w="520"/>
            <w:tcMar>
              <w:top w:type="dxa" w:w="60"/>
              <w:left w:type="dxa" w:w="110"/>
              <w:bottom w:type="dxa" w:w="60"/>
              <w:right w:type="dxa" w:w="110"/>
            </w:tcMar>
            <w:vAlign w:val="center"/>
          </w:tcPr>
          <w:p>
            <w:pPr>
              <w:spacing w:after="0" w:line="252"/>
              <w:jc w:val="left"/>
            </w:pPr>
            <w:r>
              <w:rPr>
                <w:color w:val="000000"/>
                <w:sz w:val="20"/>
                <w:szCs w:val="20"/>
              </w:rPr>
              <w:t xml:space="preserve">4</w:t>
            </w:r>
          </w:p>
        </w:tc>
        <w:tc>
          <w:tcPr>
            <w:tcW w:type="dxa" w:w="5006"/>
            <w:tcMar>
              <w:top w:type="dxa" w:w="60"/>
              <w:left w:type="dxa" w:w="110"/>
              <w:bottom w:type="dxa" w:w="60"/>
              <w:right w:type="dxa" w:w="110"/>
            </w:tcMar>
            <w:vAlign w:val="center"/>
          </w:tcPr>
          <w:p>
            <w:pPr>
              <w:spacing w:after="0" w:line="252"/>
              <w:jc w:val="left"/>
            </w:pPr>
            <w:r>
              <w:rPr>
                <w:color w:val="000000"/>
                <w:sz w:val="20"/>
                <w:szCs w:val="20"/>
              </w:rPr>
              <w:t xml:space="preserve">Payment for accrued but untaken holiday (taxable)</w:t>
            </w:r>
          </w:p>
        </w:tc>
        <w:tc>
          <w:tcPr>
            <w:tcW w:type="dxa" w:w="3500"/>
            <w:tcMar>
              <w:top w:type="dxa" w:w="60"/>
              <w:left w:type="dxa" w:w="110"/>
              <w:bottom w:type="dxa" w:w="60"/>
              <w:right w:type="dxa" w:w="110"/>
            </w:tcMar>
            <w:vAlign w:val="center"/>
          </w:tcPr>
          <w:p>
            <w:pPr>
              <w:spacing w:after="0" w:line="252"/>
              <w:jc w:val="left"/>
            </w:pPr>
            <w:r>
              <w:rPr>
                <w:color w:val="000000"/>
                <w:sz w:val="20"/>
                <w:szCs w:val="20"/>
              </w:rPr>
              <w:t xml:space="preserve">£4,380</w:t>
            </w:r>
          </w:p>
        </w:tc>
      </w:tr>
      <w:tr>
        <w:trPr>
          <w:tblHeader w:val="false"/>
        </w:trPr>
        <w:tc>
          <w:tcPr>
            <w:tcW w:type="dxa" w:w="520"/>
            <w:tcMar>
              <w:top w:type="dxa" w:w="60"/>
              <w:left w:type="dxa" w:w="110"/>
              <w:bottom w:type="dxa" w:w="60"/>
              <w:right w:type="dxa" w:w="110"/>
            </w:tcMar>
            <w:vAlign w:val="center"/>
          </w:tcPr>
          <w:p>
            <w:pPr>
              <w:spacing w:after="0" w:line="252"/>
              <w:jc w:val="left"/>
            </w:pPr>
            <w:r>
              <w:rPr>
                <w:color w:val="000000"/>
                <w:sz w:val="20"/>
                <w:szCs w:val="20"/>
              </w:rPr>
              <w:t xml:space="preserve">5</w:t>
            </w:r>
          </w:p>
        </w:tc>
        <w:tc>
          <w:tcPr>
            <w:tcW w:type="dxa" w:w="5006"/>
            <w:tcMar>
              <w:top w:type="dxa" w:w="60"/>
              <w:left w:type="dxa" w:w="110"/>
              <w:bottom w:type="dxa" w:w="60"/>
              <w:right w:type="dxa" w:w="110"/>
            </w:tcMar>
            <w:vAlign w:val="center"/>
          </w:tcPr>
          <w:p>
            <w:pPr>
              <w:spacing w:after="0" w:line="252"/>
              <w:jc w:val="left"/>
            </w:pPr>
            <w:r>
              <w:rPr>
                <w:color w:val="000000"/>
                <w:sz w:val="20"/>
                <w:szCs w:val="20"/>
              </w:rPr>
              <w:t xml:space="preserve">Outplacement support</w:t>
            </w:r>
          </w:p>
        </w:tc>
        <w:tc>
          <w:tcPr>
            <w:tcW w:type="dxa" w:w="3500"/>
            <w:tcMar>
              <w:top w:type="dxa" w:w="60"/>
              <w:left w:type="dxa" w:w="110"/>
              <w:bottom w:type="dxa" w:w="60"/>
              <w:right w:type="dxa" w:w="110"/>
            </w:tcMar>
            <w:vAlign w:val="center"/>
          </w:tcPr>
          <w:p>
            <w:pPr>
              <w:spacing w:after="0" w:line="252"/>
              <w:jc w:val="left"/>
            </w:pPr>
            <w:r>
              <w:rPr>
                <w:color w:val="000000"/>
                <w:sz w:val="20"/>
                <w:szCs w:val="20"/>
              </w:rPr>
              <w:t xml:space="preserve">£5,000</w:t>
            </w:r>
          </w:p>
        </w:tc>
      </w:tr>
      <w:tr>
        <w:trPr>
          <w:tblHeader w:val="false"/>
        </w:trPr>
        <w:tc>
          <w:tcPr>
            <w:tcW w:type="dxa" w:w="520"/>
            <w:tcMar>
              <w:top w:type="dxa" w:w="60"/>
              <w:left w:type="dxa" w:w="110"/>
              <w:bottom w:type="dxa" w:w="60"/>
              <w:right w:type="dxa" w:w="110"/>
            </w:tcMar>
            <w:vAlign w:val="center"/>
          </w:tcPr>
          <w:p>
            <w:pPr>
              <w:spacing w:after="0" w:line="252"/>
              <w:jc w:val="left"/>
            </w:pPr>
            <w:r>
              <w:rPr>
                <w:color w:val="000000"/>
                <w:sz w:val="20"/>
                <w:szCs w:val="20"/>
              </w:rPr>
              <w:t xml:space="preserve">6</w:t>
            </w:r>
          </w:p>
        </w:tc>
        <w:tc>
          <w:tcPr>
            <w:tcW w:type="dxa" w:w="5006"/>
            <w:tcMar>
              <w:top w:type="dxa" w:w="60"/>
              <w:left w:type="dxa" w:w="110"/>
              <w:bottom w:type="dxa" w:w="60"/>
              <w:right w:type="dxa" w:w="110"/>
            </w:tcMar>
            <w:vAlign w:val="center"/>
          </w:tcPr>
          <w:p>
            <w:pPr>
              <w:spacing w:after="0" w:line="252"/>
              <w:jc w:val="left"/>
            </w:pPr>
            <w:r>
              <w:rPr>
                <w:color w:val="000000"/>
                <w:sz w:val="20"/>
                <w:szCs w:val="20"/>
              </w:rPr>
              <w:t xml:space="preserve">Contribution to your client’s legal fees (plus VAT)</w:t>
            </w:r>
          </w:p>
        </w:tc>
        <w:tc>
          <w:tcPr>
            <w:tcW w:type="dxa" w:w="3500"/>
            <w:tcMar>
              <w:top w:type="dxa" w:w="60"/>
              <w:left w:type="dxa" w:w="110"/>
              <w:bottom w:type="dxa" w:w="60"/>
              <w:right w:type="dxa" w:w="110"/>
            </w:tcMar>
            <w:vAlign w:val="center"/>
          </w:tcPr>
          <w:p>
            <w:pPr>
              <w:spacing w:after="0" w:line="252"/>
              <w:jc w:val="left"/>
            </w:pPr>
            <w:r>
              <w:rPr>
                <w:color w:val="000000"/>
                <w:sz w:val="20"/>
                <w:szCs w:val="20"/>
              </w:rPr>
              <w:t xml:space="preserve">£1,500</w:t>
            </w:r>
          </w:p>
        </w:tc>
      </w:tr>
      <w:tr>
        <w:trPr>
          <w:tblHeader w:val="false"/>
        </w:trPr>
        <w:tc>
          <w:tcPr>
            <w:tcW w:type="dxa" w:w="520"/>
            <w:tcMar>
              <w:top w:type="dxa" w:w="60"/>
              <w:left w:type="dxa" w:w="110"/>
              <w:bottom w:type="dxa" w:w="60"/>
              <w:right w:type="dxa" w:w="110"/>
            </w:tcMar>
            <w:vAlign w:val="center"/>
          </w:tcPr>
          <w:p>
            <w:pPr>
              <w:spacing w:after="0" w:line="252"/>
              <w:jc w:val="left"/>
            </w:pPr>
            <w:r>
              <w:rPr>
                <w:color w:val="000000"/>
                <w:sz w:val="20"/>
                <w:szCs w:val="20"/>
              </w:rPr>
              <w:t xml:space="preserve">7</w:t>
            </w:r>
          </w:p>
        </w:tc>
        <w:tc>
          <w:tcPr>
            <w:tcW w:type="dxa" w:w="5006"/>
            <w:tcMar>
              <w:top w:type="dxa" w:w="60"/>
              <w:left w:type="dxa" w:w="110"/>
              <w:bottom w:type="dxa" w:w="60"/>
              <w:right w:type="dxa" w:w="110"/>
            </w:tcMar>
            <w:vAlign w:val="center"/>
          </w:tcPr>
          <w:p>
            <w:pPr>
              <w:spacing w:after="0" w:line="252"/>
              <w:jc w:val="left"/>
            </w:pPr>
            <w:r>
              <w:rPr>
                <w:color w:val="000000"/>
                <w:sz w:val="20"/>
                <w:szCs w:val="20"/>
              </w:rPr>
              <w:t xml:space="preserve">Agreed reference and announcement</w:t>
            </w:r>
          </w:p>
        </w:tc>
        <w:tc>
          <w:tcPr>
            <w:tcW w:type="dxa" w:w="3500"/>
            <w:tcMar>
              <w:top w:type="dxa" w:w="60"/>
              <w:left w:type="dxa" w:w="110"/>
              <w:bottom w:type="dxa" w:w="60"/>
              <w:right w:type="dxa" w:w="110"/>
            </w:tcMar>
            <w:vAlign w:val="center"/>
          </w:tcPr>
          <w:p>
            <w:pPr>
              <w:spacing w:after="0" w:line="252"/>
              <w:jc w:val="left"/>
            </w:pPr>
            <w:r>
              <w:rPr>
                <w:color w:val="000000"/>
                <w:sz w:val="20"/>
                <w:szCs w:val="20"/>
              </w:rPr>
              <w:t xml:space="preserve">in the agreed form</w:t>
            </w:r>
          </w:p>
        </w:tc>
      </w:tr>
    </w:tbl>
    <w:p>
      <w:pPr>
        <w:spacing w:after="120" w:before="160" w:line="264"/>
      </w:pPr>
      <w:r>
        <w:t xml:space="preserve">The total cash consideration offered (excluding the legal-fee contribution and outplacement) is </w:t>
      </w:r>
      <w:r>
        <w:rPr>
          <w:b/>
          <w:bCs/>
        </w:rPr>
        <w:t xml:space="preserve">£124,230.</w:t>
      </w:r>
    </w:p>
    <w:p>
      <w:pPr>
        <w:spacing w:after="120" w:before="0" w:line="264"/>
      </w:pPr>
      <w:r>
        <w:t xml:space="preserve">Your client will be expected to comply fully with the post-termination restrictions in clause 18 of his service agreement, which the Company will continue to enforce, and with the confidentiality obligations set out in the proposed agreement. He will remain on garden leave until the termination date. The unvested growth shares awarded to him under the 2019 Growth Share Plan will lapse on termination in accordance with their terms.</w:t>
      </w:r>
    </w:p>
    <w:p>
      <w:pPr>
        <w:spacing w:after="120" w:before="0" w:line="264"/>
      </w:pPr>
      <w:r>
        <w:t xml:space="preserve">The offer is conditional on your client signing a settlement agreement in a form satisfactory to the Company, on his obtaining independent legal advice on its terms and effect, and on his complying with his obligations in the meantime. The offer is open for acceptance until 5.00 pm on 27 February 2026, after which the Company reserves the right to withdraw it.</w:t>
      </w:r>
    </w:p>
    <w:p>
      <w:pPr>
        <w:spacing w:after="120" w:before="0" w:line="264"/>
      </w:pPr>
      <w:r>
        <w:t xml:space="preserve">We look forward to hearing from you. If it would assist, we are happy to have a without-prejudice call to discuss.</w:t>
      </w:r>
    </w:p>
    <w:p>
      <w:pPr>
        <w:spacing w:after="360" w:before="120" w:line="264"/>
      </w:pPr>
      <w:r>
        <w:t xml:space="preserve">Yours sincerely,</w:t>
      </w:r>
    </w:p>
    <w:p>
      <w:pPr>
        <w:spacing w:after="0" w:before="0" w:line="264"/>
      </w:pPr>
      <w:r>
        <w:rPr>
          <w:b/>
          <w:bCs/>
        </w:rPr>
        <w:t xml:space="preserve">Sarah Whitfield</w:t>
      </w:r>
    </w:p>
    <w:p>
      <w:pPr>
        <w:spacing w:after="0" w:before="0" w:line="264"/>
      </w:pPr>
      <w:r>
        <w:t xml:space="preserve">Partner, for and on behalf of Whitfield Carter LLP</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spacing w:after="0" w:before="60"/>
      <w:jc w:val="center"/>
    </w:pPr>
    <w:r>
      <w:rPr>
        <w:color w:val="808080"/>
        <w:sz w:val="13"/>
        <w:szCs w:val="13"/>
      </w:rPr>
      <w:t xml:space="preserve">Whitfield Carter LLP is a limited liability partnership registered in England and Wales (registered number OC418532). A list of members is available at the registered office. Authorised and regulated by the Solicitors Regulation Authority.</w:t>
    </w:r>
  </w:p>
  <w:p>
    <w:pPr>
      <w:spacing w:after="0"/>
      <w:jc w:val="center"/>
    </w:pPr>
    <w:r>
      <w:rPr>
        <w:color w:val="808080"/>
        <w:sz w:val="14"/>
        <w:szCs w:val="14"/>
      </w:rPr>
      <w:t xml:space="preserve">Page </w:t>
    </w:r>
    <w:r>
      <w:rPr>
        <w:color w:val="808080"/>
        <w:sz w:val="14"/>
        <w:szCs w:val="14"/>
      </w:rPr>
      <w:fldChar w:fldCharType="begin"/>
      <w:instrText xml:space="preserve">PAGE</w:instrText>
      <w:fldChar w:fldCharType="separate"/>
      <w:fldChar w:fldCharType="end"/>
    </w:r>
    <w:r>
      <w:rPr>
        <w:color w:val="808080"/>
        <w:sz w:val="14"/>
        <w:szCs w:val="14"/>
      </w:rPr>
      <w:t xml:space="preserve"> of </w:t>
    </w:r>
    <w:r>
      <w:rPr>
        <w:color w:val="808080"/>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b/>
        <w:bCs/>
        <w:color w:val="1F3864"/>
        <w:sz w:val="26"/>
        <w:szCs w:val="26"/>
      </w:rPr>
      <w:t xml:space="preserve">Whitfield Carter LLP</w:t>
    </w:r>
  </w:p>
  <w:p>
    <w:pPr>
      <w:spacing w:after="0"/>
      <w:jc w:val="right"/>
    </w:pPr>
    <w:r>
      <w:rPr>
        <w:color w:val="1F3864"/>
        <w:sz w:val="16"/>
        <w:szCs w:val="16"/>
      </w:rPr>
      <w:t xml:space="preserve">Solicitors</w:t>
    </w:r>
  </w:p>
  <w:p>
    <w:pPr>
      <w:pBdr>
        <w:bottom w:val="single" w:color="1F3864" w:sz="6" w:space="4"/>
      </w:pBdr>
      <w:spacing w:after="60"/>
      <w:jc w:val="right"/>
    </w:pPr>
    <w:r>
      <w:rPr>
        <w:color w:val="595959"/>
        <w:sz w:val="14"/>
        <w:szCs w:val="14"/>
      </w:rPr>
      <w:t xml:space="preserve">22 Bishopsgate, London EC2N 4BQ  ·  +44 (0)20 7946 0100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sz w:val="24"/>
      <w:szCs w:val="24"/>
    </w:rPr>
  </w:style>
  <w:style w:type="paragraph" w:styleId="Heading2">
    <w:name w:val="Heading 2"/>
    <w:basedOn w:val="Normal"/>
    <w:next w:val="Normal"/>
    <w:qFormat/>
    <w:pPr>
      <w:spacing w:after="80" w:before="160"/>
      <w:outlineLvl w:val="1"/>
    </w:pPr>
    <w:rPr>
      <w:rFonts w:ascii="Calibri" w:cs="Calibri" w:eastAsia="Calibri" w:hAnsi="Calibr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2026-06-29T11:16:55.950Z</dcterms:created>
  <dcterms:modified xsi:type="dcterms:W3CDTF">2026-06-29T11:16:55.950Z</dcterms:modified>
</cp:coreProperties>
</file>

<file path=docProps/custom.xml><?xml version="1.0" encoding="utf-8"?>
<Properties xmlns="http://schemas.openxmlformats.org/officeDocument/2006/custom-properties" xmlns:vt="http://schemas.openxmlformats.org/officeDocument/2006/docPropsVTypes"/>
</file>