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COMPLETION &amp; SIGNATURE CHECKLIST</w:t>
      </w:r>
    </w:p>
    <w:p>
      <w:pPr>
        <w:spacing w:after="80"/>
        <w:jc w:val="center"/>
      </w:pPr>
      <w:r>
        <w:rPr>
          <w:sz w:val="20"/>
          <w:szCs w:val="20"/>
        </w:rPr>
        <w:t xml:space="preserve">Harrow Precision Engineering Limited / Stratton Energy plc — Supply Agreement</w:t>
      </w:r>
    </w:p>
    <w:p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Matter WC-00150  •  Target completion: 28 April 2025</w:t>
      </w:r>
    </w:p>
    <w:p>
      <w:pPr>
        <w:spacing w:after="100"/>
        <w:rPr>
          <w:i/>
          <w:iCs/>
        </w:rPr>
      </w:pPr>
      <w:r>
        <w:rPr>
          <w:i/>
          <w:iCs/>
        </w:rPr>
        <w:t xml:space="preserve">Prepared by Whitfield Carter LLP (James Osei). Tick each item as completed.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400"/>
        <w:gridCol w:w="16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/ step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Engagement letter signed and returned (Harrow)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Harrow / WC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Heads of Terms signed (subject to contract)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Harrow board resolution approving execution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Harrow / Naomi Patel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24 Apr 2025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Stratton internal approval / signing authority confirmed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Pemberton Rowe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Supply Agreement — final form agreed (v3 settled)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Schedules 1–5 finalised and cross-checked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 (Elena Marchetti)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model and Schedule 3 reconciled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 / Harrow finance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Signatories confirmed: R. Lund (Harrow), C. Mowbray (Stratton)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Execution versions circulated for e-signature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Agreement dated 28 April 2025 and exchanged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 / Pemberton Rowe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Executed PDF saved to DMS; copies to clients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 (Donna Bridges)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purchase orders enabled in Stratton system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Stratton procurement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Key executed terms (for the file):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term: 5 years; auto-renewal on 12 months’ notice.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purchase commitment: £3,200,000/yr; 15% shortfall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Liability cap: 125% of trailing 12-month charges; IP indemnity sub-cap 200%.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review: annual, index-linked, capped at 4% per Contract Year (Year 1 fixed).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LDs: 0.5%/week, capped at 7.5% (within the cap).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Payment: 45 days; warranty: 24 months.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77777"/>
        <w:sz w:val="15"/>
        <w:szCs w:val="15"/>
      </w:rPr>
      <w:t xml:space="preserve">Completion Checklist — Whitfield Carter LLP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2026-06-26T23:04:18.923Z</dcterms:created>
  <dcterms:modified xsi:type="dcterms:W3CDTF">2026-06-26T23:04:18.924Z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