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sz w:val="20"/>
          <w:szCs w:val="20"/>
        </w:rPr>
        <w:t xml:space="preserve">13 January 2025</w:t>
      </w:r>
    </w:p>
    <w:p>
      <w:pPr>
        <w:spacing w:after="100"/>
        <w:rPr>
          <w:b/>
          <w:bCs/>
          <w:i/>
          <w:iCs/>
        </w:rPr>
      </w:pPr>
      <w:r>
        <w:rPr>
          <w:b/>
          <w:bCs/>
          <w:i/>
          <w:iCs/>
        </w:rPr>
        <w:t xml:space="preserve">Strictly private and confidential</w:t>
      </w:r>
    </w:p>
    <w:p>
      <w:pPr>
        <w:spacing w:after="100"/>
      </w:pPr>
      <w:r>
        <w:t xml:space="preserve">Ms Rebecca Lund</w:t>
      </w:r>
    </w:p>
    <w:p>
      <w:pPr>
        <w:spacing w:after="100"/>
      </w:pPr>
      <w:r>
        <w:t xml:space="preserve">Finance Director</w:t>
      </w:r>
    </w:p>
    <w:p>
      <w:pPr>
        <w:spacing w:after="100"/>
      </w:pPr>
      <w:r>
        <w:t xml:space="preserve">Harrow Precision Engineering Limited</w:t>
      </w:r>
    </w:p>
    <w:p>
      <w:pPr>
        <w:spacing w:after="100"/>
      </w:pPr>
      <w:r>
        <w:t xml:space="preserve">Brunel Works, Tame Valley Industrial Estate, Tamworth B77 5DQ</w:t>
      </w:r>
    </w:p>
    <w:p>
      <w:pPr>
        <w:spacing w:after="100"/>
      </w:pPr>
      <w:r>
        <w:t xml:space="preserve"> </w:t>
      </w:r>
    </w:p>
    <w:p>
      <w:pPr>
        <w:spacing w:after="100"/>
      </w:pPr>
      <w:r>
        <w:t xml:space="preserve">Dear Rebecca</w:t>
      </w:r>
    </w:p>
    <w:p>
      <w:pPr>
        <w:spacing w:after="100"/>
        <w:rPr>
          <w:b/>
          <w:bCs/>
        </w:rPr>
      </w:pPr>
      <w:r>
        <w:rPr>
          <w:b/>
          <w:bCs/>
        </w:rPr>
        <w:t xml:space="preserve">Strategic Supply Agreement with Stratton Energy plc — terms of engagement</w:t>
      </w:r>
    </w:p>
    <w:p>
      <w:pPr>
        <w:spacing w:after="100"/>
      </w:pPr>
      <w:r>
        <w:t xml:space="preserve">Thank you for instructing Whitfield Carter LLP in connection with the proposed five-year strategic supply agreement under which Harrow Precision Engineering Limited (“Harrow” or “you”) will supply HX-Series centrifugal pumps, packaged pump sets, spares and field service to Stratton Energy plc (“Stratton”). This letter, together with our enclosed standard terms of business, sets out the basis on which we will act for you.</w:t>
      </w:r>
    </w:p>
    <w:p>
      <w:pPr>
        <w:pStyle w:val="Heading2"/>
      </w:pPr>
      <w:r>
        <w:t xml:space="preserve">1.  Scope of work</w:t>
      </w:r>
    </w:p>
    <w:p>
      <w:pPr>
        <w:spacing w:after="100"/>
      </w:pPr>
      <w:r>
        <w:t xml:space="preserve">Our engagement covers: (a) advising on and negotiating the heads of terms; (b) drafting and negotiating the supply agreement and its schedules (specification, services, pricing, service levels and notices); (c) advising on the minimum-purchase commitment, liability and service-credit regime, and the price-review mechanism; and (d) advising on execution and completion formalities. Our advice relates to English law only. The engagement does not include tax structuring advice, on which we recommend you consult your accountants, or competition-law clearance, which we do not consider is required for this arrangement but on which we can advise separately if needed.</w:t>
      </w:r>
    </w:p>
    <w:p>
      <w:pPr>
        <w:pStyle w:val="Heading2"/>
      </w:pPr>
      <w:r>
        <w:t xml:space="preserve">2.  Our team</w:t>
      </w:r>
    </w:p>
    <w:p>
      <w:pPr>
        <w:spacing w:after="100"/>
      </w:pPr>
      <w:r>
        <w:t xml:space="preserve">Sarah Whitfield (Partner) will lead and supervise the matter and is responsible for the overall relationship. James Osei (Senior Associate) will have day-to-day conduct, supported by Elena Marchetti (Associate). Donna Bridges (Practice Assistant) can help with logistics and billing queries.</w:t>
      </w:r>
    </w:p>
    <w:p>
      <w:pPr>
        <w:pStyle w:val="Heading2"/>
      </w:pPr>
      <w:r>
        <w:t xml:space="preserve">3.  Fees and estimate</w:t>
      </w:r>
    </w:p>
    <w:p>
      <w:pPr>
        <w:spacing w:after="100"/>
      </w:pPr>
      <w:r>
        <w:t xml:space="preserve">Our fees are charged by reference to time spent at the following hourly rates (exclusive of VAT): Partner £620; Senior Associate £445; Associate £310. Based on our current understanding of the transaction, we estimate our fees for the work described above will be in the region of £38,000 to £52,000 plus VAT and disbursements. This is an estimate, not a fixed fee or a cap; we will update you promptly if it appears likely to be exceeded and will not exceed it by more than 15% without first discussing it with you.</w:t>
      </w:r>
    </w:p>
    <w:p>
      <w:pPr>
        <w:pStyle w:val="Heading2"/>
      </w:pPr>
      <w:r>
        <w:t xml:space="preserve">4.  Billing</w:t>
      </w:r>
    </w:p>
    <w:p>
      <w:pPr>
        <w:spacing w:after="100"/>
      </w:pPr>
      <w:r>
        <w:t xml:space="preserve">We will bill monthly in arrears. Our invoices are payable within 30 days. We may ask for a payment on account of fees and disbursements at the outset, which we will hold and apply against invoices.</w:t>
      </w:r>
    </w:p>
    <w:p>
      <w:pPr>
        <w:pStyle w:val="Heading2"/>
      </w:pPr>
      <w:r>
        <w:t xml:space="preserve">5.  Conflicts and confidentiality</w:t>
      </w:r>
    </w:p>
    <w:p>
      <w:pPr>
        <w:spacing w:after="100"/>
      </w:pPr>
      <w:r>
        <w:t xml:space="preserve">We have carried out a conflict check and are not aware of any conflict of interest preventing us from acting for you on this matter. We will keep your affairs confidential in accordance with our professional obligations and our standard terms of business.</w:t>
      </w:r>
    </w:p>
    <w:p>
      <w:pPr>
        <w:pStyle w:val="Heading2"/>
      </w:pPr>
      <w:r>
        <w:t xml:space="preserve">6.  Money laundering</w:t>
      </w:r>
    </w:p>
    <w:p>
      <w:pPr>
        <w:spacing w:after="100"/>
      </w:pPr>
      <w:r>
        <w:t xml:space="preserve">We are required to verify the identity of our clients. Please complete the enclosed client-information form and provide the requested identification documents before we begin substantive work.</w:t>
      </w:r>
    </w:p>
    <w:p>
      <w:pPr>
        <w:spacing w:after="100"/>
      </w:pPr>
      <w:r>
        <w:t xml:space="preserve">If these terms are acceptable, please sign and return the enclosed copy of this letter. We are delighted to be working with you on this important contract.</w:t>
      </w:r>
    </w:p>
    <w:p>
      <w:pPr>
        <w:spacing w:after="100"/>
      </w:pPr>
      <w:r>
        <w:t xml:space="preserve">Yours sincerely</w:t>
      </w:r>
    </w:p>
    <w:p>
      <w:pPr>
        <w:spacing w:after="100"/>
      </w:pPr>
      <w:r>
        <w:t xml:space="preserve"> </w:t>
      </w:r>
    </w:p>
    <w:p>
      <w:pPr>
        <w:spacing w:after="100"/>
        <w:rPr>
          <w:b/>
          <w:bCs/>
        </w:rPr>
      </w:pPr>
      <w:r>
        <w:rPr>
          <w:b/>
          <w:bCs/>
        </w:rPr>
        <w:t xml:space="preserve">Sarah Whitfield</w:t>
      </w:r>
    </w:p>
    <w:p>
      <w:pPr>
        <w:spacing w:after="100"/>
      </w:pPr>
      <w:r>
        <w:t xml:space="preserve">Partner, Whitfield Carter LLP</w:t>
      </w:r>
    </w:p>
    <w:p>
      <w:pPr>
        <w:spacing w:after="100"/>
      </w:pPr>
      <w:r>
        <w:t xml:space="preserve">sarah.whitfield@whitfieldcarter.com  |  +44 (0)20 7946 0820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777777"/>
        <w:sz w:val="15"/>
        <w:szCs w:val="15"/>
      </w:rPr>
      <w:t xml:space="preserve">Whitfield Carter LLP — Confidential and may be legally privileged</w:t>
    </w:r>
    <w:r>
      <w:rPr>
        <w:color w:val="777777"/>
        <w:sz w:val="15"/>
        <w:szCs w:val="15"/>
      </w:rPr>
      <w:t xml:space="preserve">	Page </w:t>
    </w:r>
    <w:r>
      <w:rPr>
        <w:color w:val="777777"/>
        <w:sz w:val="15"/>
        <w:szCs w:val="15"/>
      </w:rPr>
      <w:fldChar w:fldCharType="begin"/>
      <w:instrText xml:space="preserve">PAGE</w:instrText>
      <w:fldChar w:fldCharType="separate"/>
      <w:fldChar w:fldCharType="end"/>
    </w:r>
    <w:r>
      <w:rPr>
        <w:color w:val="777777"/>
        <w:sz w:val="15"/>
        <w:szCs w:val="15"/>
      </w:rPr>
      <w:t xml:space="preserve"> of </w:t>
    </w:r>
    <w:r>
      <w:rPr>
        <w:color w:val="777777"/>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sz w:val="24"/>
        <w:szCs w:val="24"/>
      </w:rPr>
      <w:t xml:space="preserve">Whitfield Carter LLP</w:t>
    </w:r>
  </w:p>
  <w:p>
    <w:pPr>
      <w:pBdr>
        <w:bottom w:val="single" w:color="2E75B6" w:sz="6" w:space="4"/>
      </w:pBdr>
      <w:spacing w:after="200"/>
    </w:pPr>
    <w:r>
      <w:rPr>
        <w:color w:val="555555"/>
        <w:sz w:val="16"/>
        <w:szCs w:val="16"/>
      </w:rPr>
      <w:t xml:space="preserve">22 Bishopsgate, London EC2N 4BQ  •  +44 (0)20 7946 0820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sz w:val="26"/>
      <w:szCs w:val="26"/>
    </w:rPr>
  </w:style>
  <w:style w:type="paragraph" w:styleId="Heading2">
    <w:name w:val="Heading 2"/>
    <w:basedOn w:val="Normal"/>
    <w:next w:val="Normal"/>
    <w:qFormat/>
    <w:pPr>
      <w:spacing w:after="10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2026-06-26T22:58:35.091Z</dcterms:created>
  <dcterms:modified xsi:type="dcterms:W3CDTF">2026-06-26T22:58:35.091Z</dcterms:modified>
</cp:coreProperties>
</file>

<file path=docProps/custom.xml><?xml version="1.0" encoding="utf-8"?>
<Properties xmlns="http://schemas.openxmlformats.org/officeDocument/2006/custom-properties" xmlns:vt="http://schemas.openxmlformats.org/officeDocument/2006/docPropsVTypes"/>
</file>