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B00000"/>
          <w:sz w:val="18"/>
          <w:szCs w:val="18"/>
        </w:rPr>
        <w:t xml:space="preserve">PRIVILEGED &amp; CONFIDENTIAL</w:t>
      </w:r>
    </w:p>
    <w:p>
      <w:pPr>
        <w:spacing w:after="200"/>
        <w:jc w:val="center"/>
      </w:pPr>
      <w:r>
        <w:rPr>
          <w:color w:val="777777"/>
          <w:sz w:val="16"/>
          <w:szCs w:val="16"/>
        </w:rPr>
        <w:t xml:space="preserve">Legal advice — prepared for the client</w:t>
      </w:r>
    </w:p>
    <w:p>
      <w:pPr>
        <w:spacing w:after="10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MEMORANDUM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Rebecca Lund (Finance Director); copy: Daniel Harrow (Managing Director)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James Osei, Senior Associate (supervised by Sarah Whitfield, Partner)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March 2025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Matter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WC-00150 — Stratton Energy Supply Agreement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Subject</w:t>
            </w:r>
          </w:p>
        </w:tc>
        <w:tc>
          <w:tcPr>
            <w:tcW w:type="dxa" w:w="7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open issues following Stratton’s mark-up (v2) and recommended positions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00"/>
      </w:pPr>
      <w:r>
        <w:t xml:space="preserve">This note summarises the principal open points on the supply agreement following Pemberton Rowe’s mark-up returned on 14 March 2025, and our recommended negotiating positions ahead of the all-parties call on 27 March. This note is legally privileged; please do not forward it to Stratton.</w:t>
      </w:r>
    </w:p>
    <w:p>
      <w:pPr>
        <w:pStyle w:val="Heading2"/>
      </w:pPr>
      <w:r>
        <w:t xml:space="preserve">1.  Liability cap (clause 11.3)</w:t>
      </w:r>
    </w:p>
    <w:p>
      <w:pPr>
        <w:spacing w:after="100"/>
      </w:pPr>
      <w:r>
        <w:t xml:space="preserve">We proposed a cap of 100% of trailing 12 months’ charges. Stratton’s mark-up deleted this and inserted 150%. This is the single most commercially significant point. Given the value of the equipment, the criticality of supply to Stratton’s sites and the relatively contained warranty exposure, we consider 125% is a defensible landing zone and is consistent with market practice for supply arrangements of this size. We recommend offering 125% as a compromise, holding the consequential-loss exclusion firm, and resisting Stratton’s attempt to carve liquidated damages out of the cap (they should count towards it).</w:t>
      </w:r>
    </w:p>
    <w:p>
      <w:pPr>
        <w:pStyle w:val="Heading2"/>
      </w:pPr>
      <w:r>
        <w:t xml:space="preserve">2.  IP indemnity (clause 10.3 / 11.4)</w:t>
      </w:r>
    </w:p>
    <w:p>
      <w:pPr>
        <w:spacing w:after="100"/>
      </w:pPr>
      <w:r>
        <w:t xml:space="preserve">Stratton seeks an uncapped IP infringement indemnity. We recommend agreeing a separate, higher sub-cap (200% of trailing charges) rather than leaving it uncapped, which is consistent with how we have treated IP indemnities on comparable matters. The infringement risk on standard pump designs is low.</w:t>
      </w:r>
    </w:p>
    <w:p>
      <w:pPr>
        <w:pStyle w:val="Heading2"/>
      </w:pPr>
      <w:r>
        <w:t xml:space="preserve">2A.  Price review (clause 8.3)</w:t>
      </w:r>
    </w:p>
    <w:p>
      <w:pPr>
        <w:spacing w:after="100"/>
      </w:pPr>
      <w:r>
        <w:t xml:space="preserve">Stratton initially deleted the indexation right entirely (prices fixed for the whole term). That is not acceptable given input-cost volatility in fabricated metal and energy. We recommend holding the annual index-linked review but accepting a hard cap of 4% per Contract Year (rather than the uncapped index figure), which we expect Stratton to accept as a reasonable compromise.</w:t>
      </w:r>
    </w:p>
    <w:p>
      <w:pPr>
        <w:pStyle w:val="Heading2"/>
      </w:pPr>
      <w:r>
        <w:t xml:space="preserve">3.  Minimum purchase commitment (clause 4)</w:t>
      </w:r>
    </w:p>
    <w:p>
      <w:pPr>
        <w:spacing w:after="100"/>
      </w:pPr>
      <w:r>
        <w:t xml:space="preserve">Stratton has accepted the £3.2m commitment but proposed reducing the shortfall payment from 15% to 10%. We recommend holding 15%, as it is the principal protection for your capacity planning and buffer-stock investment; this is a point we can concede partially if needed in exchange for movement on the cap.</w:t>
      </w:r>
    </w:p>
    <w:p>
      <w:pPr>
        <w:pStyle w:val="Heading2"/>
      </w:pPr>
      <w:r>
        <w:t xml:space="preserve">4.  Termination for convenience (clause 15.2)</w:t>
      </w:r>
    </w:p>
    <w:p>
      <w:pPr>
        <w:spacing w:after="100"/>
      </w:pPr>
      <w:r>
        <w:t xml:space="preserve">Stratton wants the right to terminate for convenience from day one on 3 months’ notice. We recommend resisting termination before the second anniversary and holding 6 months’ notice, with payment for committed work-in-progress and bespoke materials, to protect your investment in tooling and stock.</w:t>
      </w:r>
    </w:p>
    <w:p>
      <w:pPr>
        <w:pStyle w:val="Heading2"/>
      </w:pPr>
      <w:r>
        <w:t xml:space="preserve">5.  Recommended overall strategy</w:t>
      </w:r>
    </w:p>
    <w:p>
      <w:pPr>
        <w:spacing w:after="100"/>
      </w:pPr>
      <w:r>
        <w:t xml:space="preserve">Concede the cap to 125% and accept the 200% IP sub-cap as a package; hold the consequential-loss exclusion, the 4% price-review cap, the 15% shortfall and the post-second-anniversary convenience right. We assess these as acceptable commercial outcomes and within the parameters you approved at our meeting on 20 March.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77777"/>
        <w:sz w:val="15"/>
        <w:szCs w:val="15"/>
      </w:rPr>
      <w:t xml:space="preserve">Privileged &amp; Confidential — Whitfield Carter LLP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2026-06-26T22:58:35.098Z</dcterms:created>
  <dcterms:modified xsi:type="dcterms:W3CDTF">2026-06-26T22:58:35.098Z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