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30"/>
          <w:szCs w:val="30"/>
        </w:rPr>
        <w:t xml:space="preserve">WHITFIELD CARTER LLP</w:t>
      </w:r>
    </w:p>
    <w:p>
      <w:pPr>
        <w:spacing w:after="0"/>
        <w:jc w:val="center"/>
      </w:pPr>
      <w:r>
        <w:rPr>
          <w:color w:val="555555"/>
          <w:sz w:val="18"/>
          <w:szCs w:val="18"/>
        </w:rPr>
        <w:t xml:space="preserve">Solicitors</w:t>
      </w:r>
    </w:p>
    <w:p>
      <w:pPr>
        <w:spacing w:after="120"/>
        <w:jc w:val="center"/>
      </w:pPr>
      <w:r>
        <w:rPr>
          <w:color w:val="555555"/>
          <w:sz w:val="16"/>
          <w:szCs w:val="16"/>
        </w:rPr>
        <w:t xml:space="preserve">22 Bishopsgate, London EC2N 4BQ  |  DX 123 London  |  T +44 (0)20 7946 0100  |  www.whitfieldcarter.com</w:t>
      </w:r>
    </w:p>
    <w:p>
      <w:pPr>
        <w:pBdr>
          <w:bottom w:val="single" w:color="1F3864" w:sz="6" w:space="1"/>
        </w:pBdr>
        <w:spacing w:after="160"/>
      </w:pPr>
      <w:r>
        <w:t xml:space="preserve"/>
      </w:r>
    </w:p>
    <w:p>
      <w:r>
        <w:t xml:space="preserve">Pemberton Rowe LLP</w:t>
      </w:r>
    </w:p>
    <w:p>
      <w:r>
        <w:t xml:space="preserve">FAO Alistair Whitlock</w:t>
      </w:r>
    </w:p>
    <w:p>
      <w:r>
        <w:t xml:space="preserve">By email and post</w:t>
      </w:r>
    </w:p>
    <w:p>
      <w:r>
        <w:t xml:space="preserve"/>
      </w:r>
    </w:p>
    <w:p>
      <w:pPr>
        <w:jc w:val="right"/>
      </w:pPr>
      <w:r>
        <w:t xml:space="preserve">Our ref: WC-00188 / SW / TG</w:t>
      </w:r>
    </w:p>
    <w:p>
      <w:pPr>
        <w:jc w:val="right"/>
      </w:pPr>
      <w:r>
        <w:t xml:space="preserve">Your ref: PR/AW/CRYO-014</w:t>
      </w:r>
    </w:p>
    <w:p>
      <w:pPr>
        <w:jc w:val="right"/>
      </w:pPr>
      <w:r>
        <w:t xml:space="preserve">13 March 2026</w:t>
      </w:r>
    </w:p>
    <w:p>
      <w:r>
        <w:t xml:space="preserve"/>
      </w:r>
    </w:p>
    <w:p>
      <w:r>
        <w:t xml:space="preserve">Dear Sirs</w:t>
      </w:r>
    </w:p>
    <w:p>
      <w:r>
        <w:t xml:space="preserve"/>
      </w:r>
    </w:p>
    <w:p>
      <w:r>
        <w:rPr>
          <w:b/>
          <w:bCs/>
        </w:rPr>
        <w:t xml:space="preserve">Hartwell Pharma Limited v Cryovance Cold Chain Limited – Claim No. CL-2026-000214</w:t>
      </w:r>
    </w:p>
    <w:p>
      <w:r>
        <w:t xml:space="preserve"/>
      </w:r>
    </w:p>
    <w:p>
      <w:r>
        <w:t xml:space="preserve">We write further to your client’s Defence served on 13 March 2026 and ahead of the Case Management Conference listed for 8 May 2026.</w:t>
      </w:r>
    </w:p>
    <w:p>
      <w:pPr>
        <w:pStyle w:val="ListParagraph"/>
        <w:numPr>
          <w:ilvl w:val="0"/>
          <w:numId w:val="2"/>
        </w:numPr>
        <w:spacing w:after="120"/>
      </w:pPr>
      <w:r>
        <w:t xml:space="preserve">Reliance on clause 11.3. Your client continues to assert that its liability is capped under clause 11.3 of the Services Agreement at the greater of £500,000 or the charges paid in the preceding twelve months. As pleaded, our client’s case is that clause 11.3 does not on its true construction extend to breaches of the core cold-chain obligations in clause 4, and is in any event unreasonable under UCTA 1977. We invite your client to indicate whether it intends to apply for the reasonableness issue to be tried as a preliminary issue.</w:t>
      </w:r>
    </w:p>
    <w:p>
      <w:pPr>
        <w:pStyle w:val="ListParagraph"/>
        <w:numPr>
          <w:ilvl w:val="0"/>
          <w:numId w:val="2"/>
        </w:numPr>
        <w:spacing w:after="120"/>
      </w:pPr>
      <w:r>
        <w:t xml:space="preserve">Disclosure. We anticipate that the parties will be required to give disclosure by reference to the issues. From our client’s perspective, the key categories are: (a) the vehicle maintenance and qualification records for both consignments; (b) the driver records, route plans and tachograph data for the journeys on 14–15 September and 9–10 October 2025; (c) Cryovance’s internal incident reports and CAPA records; and (d) the temperature data logs and alarm configuration records.</w:t>
      </w:r>
    </w:p>
    <w:p>
      <w:pPr>
        <w:pStyle w:val="ListParagraph"/>
        <w:numPr>
          <w:ilvl w:val="0"/>
          <w:numId w:val="2"/>
        </w:numPr>
        <w:spacing w:after="120"/>
      </w:pPr>
      <w:r>
        <w:t xml:space="preserve">Expert evidence. Our client considers that the Court will be assisted by expert evidence in the field of GDP cold-chain logistics, directed to whether the conduct disclosed in (a)–(d) above fell below the standard reasonably to be expected of a GDP-accredited cold-chain provider. We propose a single discipline, one expert per party, with provision for a joint statement.</w:t>
      </w:r>
    </w:p>
    <w:p>
      <w:pPr>
        <w:pStyle w:val="ListParagraph"/>
        <w:numPr>
          <w:ilvl w:val="0"/>
          <w:numId w:val="2"/>
        </w:numPr>
        <w:spacing w:after="120"/>
      </w:pPr>
      <w:r>
        <w:t xml:space="preserve">Directions timetable. We enclose our client’s draft directions. In short, we propose disclosure by 26 June 2026, exchange of witness statements by 28 August 2026, exchange of expert reports by 16 October 2026, and a five-day trial in a window from January 2027.</w:t>
      </w:r>
    </w:p>
    <w:p>
      <w:r>
        <w:t xml:space="preserve"/>
      </w:r>
    </w:p>
    <w:p>
      <w:r>
        <w:t xml:space="preserve">We look forward to hearing from you, and to agreeing as much as possible of the directions before the CMC.</w:t>
      </w:r>
    </w:p>
    <w:p>
      <w:r>
        <w:t xml:space="preserve"/>
      </w:r>
    </w:p>
    <w:p>
      <w:r>
        <w:t xml:space="preserve">Yours faithfully</w:t>
      </w:r>
    </w:p>
    <w:p>
      <w:r>
        <w:t xml:space="preserve"/>
      </w:r>
    </w:p>
    <w:p>
      <w:r>
        <w:rPr>
          <w:b/>
          <w:bCs/>
        </w:rPr>
        <w:t xml:space="preserve">Whitfield Carter LLP</w:t>
      </w:r>
    </w:p>
    <w:p>
      <w:r>
        <w:rPr>
          <w:color w:val="777777"/>
          <w:sz w:val="16"/>
          <w:szCs w:val="16"/>
        </w:rPr>
        <w:t xml:space="preserve">Confidential and may be legally privileged.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abstractNum w:abstractNumId="7"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2026-06-29T19:47:16.846Z</dcterms:created>
  <dcterms:modified xsi:type="dcterms:W3CDTF">2026-06-29T19:47:16.846Z</dcterms:modified>
</cp:coreProperties>
</file>

<file path=docProps/custom.xml><?xml version="1.0" encoding="utf-8"?>
<Properties xmlns="http://schemas.openxmlformats.org/officeDocument/2006/custom-properties" xmlns:vt="http://schemas.openxmlformats.org/officeDocument/2006/docPropsVTypes"/>
</file>