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Hartwell Pharma Limited v Cryovance Cold Chain Limited</w:t>
      </w:r>
    </w:p>
    <w:p>
      <w:r>
        <w:rPr>
          <w:i/>
          <w:iCs/>
          <w:color w:val="555555"/>
        </w:rPr>
        <w:t xml:space="preserve">Chronology of key events (working document — privileged and confidential)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26"/>
        <w:gridCol w:w="1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Mar 2024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Logistics and Cold-Chain Services Agreement executed between Hartwell and Cryovance.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Sep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Cryovance collects First Consignment (batch DS-2025-041) for Reinbek, 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Sep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Overnight refrigeration failure; load compartment exceeds 8°C for &gt;9 hrs, peak 19.4°C. No alarm raised.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Sep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Hartwell reviews recovered data logger; excursion discovered. Batch quarantined.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Sep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Hartwell notifies Cryovance of excursion in writing; Cryovance attributes to isolated vehicle fault.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 Oct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QP stability assessment confirms DS-2025-041 out of specification; destruction authorised.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 Oct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Cryovance collects Second Consignment (batch DS-2025-047).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Oct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leaves validated route; refrigeration off ~5 hrs during rest; peak 14.1°C.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Oct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DS-2025-047 confirmed out of specification; destruction authorised.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Nov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before action sent to Cryovance by Whitfield Carter LLP.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Nov 2025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Pemberton Rowe LLP responds for Cryovance, relying on clause 11.3 liability cap.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SO1/33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Feb 2026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 issued; Particulars of Claim and Schedule of Loss served.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Defence served.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 May 2026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Management Conference; directions to trial.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2026-06-29T19:47:16.823Z</dcterms:created>
  <dcterms:modified xsi:type="dcterms:W3CDTF">2026-06-29T19:47:16.823Z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