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18"/>
          <w:szCs w:val="18"/>
        </w:rPr>
        <w:t xml:space="preserve">Claim No. CL-2026-000214</w:t>
      </w:r>
    </w:p>
    <w:p>
      <w:pPr>
        <w:jc w:val="right"/>
      </w:pPr>
      <w:r>
        <w:rPr>
          <w:sz w:val="18"/>
          <w:szCs w:val="18"/>
        </w:rPr>
        <w:t xml:space="preserve">Claimant: 1st witness – S. Okoro – “SO1”</w:t>
      </w:r>
    </w:p>
    <w:p>
      <w:r>
        <w:t xml:space="preserve"/>
      </w:r>
    </w:p>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COMMERCIAL COURT (KBD)</w:t>
      </w:r>
    </w:p>
    <w:p>
      <w:r>
        <w:t xml:space="preserve"/>
      </w:r>
    </w:p>
    <w:p>
      <w:pPr>
        <w:spacing w:after="80"/>
        <w:jc w:val="center"/>
      </w:pPr>
      <w:r>
        <w:t xml:space="preserve">BETWEEN HARTWELL PHARMA LIMITED (Claimant) and CRYOVANCE COLD CHAIN LIMITED (Defendant)</w:t>
      </w:r>
    </w:p>
    <w:p>
      <w:r>
        <w:t xml:space="preserve"/>
      </w:r>
    </w:p>
    <w:p>
      <w:pPr>
        <w:pBdr>
          <w:top w:val="single" w:color="000000" w:sz="6"/>
          <w:bottom w:val="single" w:color="000000" w:sz="6"/>
        </w:pBdr>
        <w:spacing w:after="120" w:before="120"/>
        <w:jc w:val="center"/>
      </w:pPr>
      <w:r>
        <w:rPr>
          <w:b/>
          <w:bCs/>
          <w:sz w:val="24"/>
          <w:szCs w:val="24"/>
        </w:rPr>
        <w:t xml:space="preserve">FIRST WITNESS STATEMENT OF DR STEPHEN OKORO</w:t>
      </w:r>
    </w:p>
    <w:p>
      <w:r>
        <w:t xml:space="preserve"/>
      </w:r>
    </w:p>
    <w:p>
      <w:pPr>
        <w:pStyle w:val="ListParagraph"/>
        <w:numPr>
          <w:ilvl w:val="0"/>
          <w:numId w:val="2"/>
        </w:numPr>
        <w:spacing w:after="120"/>
      </w:pPr>
      <w:r>
        <w:t xml:space="preserve">I am Dr Stephen Okoro, Chief Scientific Officer of the Claimant, Hartwell Pharma Limited (“Hartwell”). I make this statement from facts within my own knowledge, save where I indicate otherwise, in which case I state the source of my information and believe it to be true.</w:t>
      </w:r>
    </w:p>
    <w:p>
      <w:pPr>
        <w:pStyle w:val="ListParagraph"/>
        <w:numPr>
          <w:ilvl w:val="0"/>
          <w:numId w:val="2"/>
        </w:numPr>
        <w:spacing w:after="120"/>
      </w:pPr>
      <w:r>
        <w:t xml:space="preserve">There is now produced and shown to me a paginated bundle of true copy documents marked “SO1” to which I refer in this statement.</w:t>
      </w:r>
    </w:p>
    <w:p>
      <w:pPr>
        <w:pStyle w:val="ListParagraph"/>
        <w:numPr>
          <w:ilvl w:val="0"/>
          <w:numId w:val="2"/>
        </w:numPr>
        <w:spacing w:after="120"/>
      </w:pPr>
      <w:r>
        <w:t xml:space="preserve">I have responsibility for Hartwell’s HRX-118 monoclonal antibody programme, which is in Phase II clinical development for the treatment of metastatic colorectal cancer. Drug substance for that programme is manufactured at our Alderley Park facility and shipped, under cold-chain conditions, to our contract fill-finish partner for conversion into finished product.</w:t>
      </w:r>
    </w:p>
    <w:p>
      <w:pPr>
        <w:pStyle w:val="ListParagraph"/>
        <w:numPr>
          <w:ilvl w:val="0"/>
          <w:numId w:val="2"/>
        </w:numPr>
        <w:spacing w:after="120"/>
      </w:pPr>
      <w:r>
        <w:t xml:space="preserve">HRX-118 drug substance must be maintained between 2°C and 8°C at all times. It has no permitted excursion above 8°C. Any sustained exposure above 8°C causes aggregation of the antibody and renders the material out of specification and unusable. This is well understood across the industry and was, I am confident, well understood by Cryovance, who marketed themselves to us specifically as GDP-compliant cold-chain specialists.</w:t>
      </w:r>
    </w:p>
    <w:p>
      <w:pPr>
        <w:pStyle w:val="ListParagraph"/>
        <w:numPr>
          <w:ilvl w:val="0"/>
          <w:numId w:val="2"/>
        </w:numPr>
        <w:spacing w:after="120"/>
      </w:pPr>
      <w:r>
        <w:t xml:space="preserve">We engaged Cryovance under the Services Agreement dated 22 March 2024. The whole point of using a specialist provider, rather than a general haulier, was the assurance of an unbroken validated 2–8°C chain with continuous data-logging and real-time alarms.</w:t>
      </w:r>
    </w:p>
    <w:p>
      <w:pPr>
        <w:pStyle w:val="ListParagraph"/>
        <w:numPr>
          <w:ilvl w:val="0"/>
          <w:numId w:val="2"/>
        </w:numPr>
        <w:spacing w:after="120"/>
      </w:pPr>
      <w:r>
        <w:t xml:space="preserve">On 16 September 2025 I was informed by our QP, Dr Helena Vance’s team, that the data logger recovered with the consignment collected on 14 September 2025 (batch DS-2025-041) showed a sustained excursion peaking at 19.4°C for over nine hours overnight. The shipment had not been alarmed to us at the time. Had it been, we could have intervened. We could not. The batch was a total loss.</w:t>
      </w:r>
    </w:p>
    <w:p>
      <w:pPr>
        <w:pStyle w:val="ListParagraph"/>
        <w:numPr>
          <w:ilvl w:val="0"/>
          <w:numId w:val="2"/>
        </w:numPr>
        <w:spacing w:after="120"/>
      </w:pPr>
      <w:r>
        <w:t xml:space="preserve">I was extremely concerned, and we raised the incident with Cryovance immediately and in writing. We were given assurances that it was an isolated vehicle fault and that corrective action had been taken.</w:t>
      </w:r>
    </w:p>
    <w:p>
      <w:pPr>
        <w:pStyle w:val="ListParagraph"/>
        <w:numPr>
          <w:ilvl w:val="0"/>
          <w:numId w:val="2"/>
        </w:numPr>
        <w:spacing w:after="120"/>
      </w:pPr>
      <w:r>
        <w:t xml:space="preserve">On those assurances we released a second consignment (batch DS-2025-047) on 9 October 2025. To my dismay, that consignment also suffered an excursion, this time because the driver had switched off the refrigeration unit during a rest break and had left the validated route. The peak recorded was 14.1°C. That batch, too, was destroyed.</w:t>
      </w:r>
    </w:p>
    <w:p>
      <w:pPr>
        <w:pStyle w:val="ListParagraph"/>
        <w:numPr>
          <w:ilvl w:val="0"/>
          <w:numId w:val="2"/>
        </w:numPr>
        <w:spacing w:after="120"/>
      </w:pPr>
      <w:r>
        <w:t xml:space="preserve">The financial consequences are set out in the Schedule of Loss and I will not repeat them. But I want to record the operational consequence: the loss of two drug-substance batches forced an unplanned re-manufacturing campaign and put our Phase II clinical supply at risk of interruption, which would have had serious consequences for trial sites and patients.</w:t>
      </w:r>
    </w:p>
    <w:p>
      <w:pPr>
        <w:pStyle w:val="ListParagraph"/>
        <w:numPr>
          <w:ilvl w:val="0"/>
          <w:numId w:val="2"/>
        </w:numPr>
        <w:spacing w:after="120"/>
      </w:pPr>
      <w:r>
        <w:t xml:space="preserve">I do not accept Cryovance’s suggestion that its liability is capped at a figure that is a fraction of the loss it caused. Cryovance held itself out as a GDP specialist, was paid a premium for that specialism, was told in terms that there was no permitted excursion, and then caused two destructive excursions — the second after being warned of the first.</w:t>
      </w:r>
    </w:p>
    <w:p>
      <w:r>
        <w:t xml:space="preserve"/>
      </w:r>
    </w:p>
    <w:p>
      <w:r>
        <w:rPr>
          <w:b/>
          <w:bCs/>
        </w:rPr>
        <w:t xml:space="preserve">STATEMENT OF TRUTH</w:t>
      </w:r>
    </w:p>
    <w:p>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r>
        <w:t xml:space="preserve"/>
      </w:r>
    </w:p>
    <w:p>
      <w:r>
        <w:t xml:space="preserve">Signed: ............................................</w:t>
      </w:r>
    </w:p>
    <w:p>
      <w:r>
        <w:t xml:space="preserve">Dr Stephen Okoro</w:t>
      </w:r>
    </w:p>
    <w:p>
      <w:r>
        <w:t xml:space="preserve">Dated: 27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abstractNum w:abstractNumId="7"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2026-06-29T19:47:16.803Z</dcterms:created>
  <dcterms:modified xsi:type="dcterms:W3CDTF">2026-06-29T19:47:16.803Z</dcterms:modified>
</cp:coreProperties>
</file>

<file path=docProps/custom.xml><?xml version="1.0" encoding="utf-8"?>
<Properties xmlns="http://schemas.openxmlformats.org/officeDocument/2006/custom-properties" xmlns:vt="http://schemas.openxmlformats.org/officeDocument/2006/docPropsVTypes"/>
</file>